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otnotes.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0" distT="0" distB="0" distL="0" distR="0" simplePos="0" locked="0" layoutInCell="0" allowOverlap="1" relativeHeight="4">
            <wp:simplePos x="0" y="0"/>
            <wp:positionH relativeFrom="column">
              <wp:posOffset>4686300</wp:posOffset>
            </wp:positionH>
            <wp:positionV relativeFrom="paragraph">
              <wp:posOffset>-800100</wp:posOffset>
            </wp:positionV>
            <wp:extent cx="785495" cy="786130"/>
            <wp:effectExtent l="0" t="0" r="0" b="0"/>
            <wp:wrapSquare wrapText="largest"/>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2"/>
                    <a:stretch>
                      <a:fillRect/>
                    </a:stretch>
                  </pic:blipFill>
                  <pic:spPr bwMode="auto">
                    <a:xfrm>
                      <a:off x="0" y="0"/>
                      <a:ext cx="785495" cy="786130"/>
                    </a:xfrm>
                    <a:prstGeom prst="rect">
                      <a:avLst/>
                    </a:prstGeom>
                  </pic:spPr>
                </pic:pic>
              </a:graphicData>
            </a:graphic>
          </wp:anchor>
        </w:drawing>
      </w:r>
    </w:p>
    <w:p>
      <w:pPr>
        <w:pStyle w:val="Normal"/>
        <w:rPr>
          <w:rFonts w:ascii="Arial" w:hAnsi="Arial" w:cs="Arial"/>
          <w:b/>
          <w:color w:val="000000"/>
          <w:sz w:val="28"/>
          <w:szCs w:val="28"/>
        </w:rPr>
      </w:pPr>
      <w:r>
        <w:rPr>
          <w:rFonts w:cs="Arial" w:ascii="Arial" w:hAnsi="Arial"/>
          <w:b/>
          <w:color w:val="000000"/>
          <w:sz w:val="28"/>
          <w:szCs w:val="28"/>
        </w:rPr>
      </w:r>
    </w:p>
    <w:p>
      <w:pPr>
        <w:pStyle w:val="Normal"/>
        <w:tabs>
          <w:tab w:val="clear" w:pos="708"/>
          <w:tab w:val="left" w:pos="720" w:leader="none"/>
        </w:tabs>
        <w:ind w:right="18"/>
        <w:jc w:val="center"/>
        <w:rPr>
          <w:rFonts w:ascii="Arial" w:hAnsi="Arial" w:cs="Arial"/>
          <w:b/>
          <w:color w:val="000000"/>
          <w:sz w:val="28"/>
          <w:szCs w:val="28"/>
        </w:rPr>
      </w:pPr>
      <w:r>
        <w:rPr>
          <w:rFonts w:cs="Arial" w:ascii="Arial" w:hAnsi="Arial"/>
          <w:b/>
          <w:color w:val="000000"/>
          <w:sz w:val="28"/>
          <w:szCs w:val="28"/>
        </w:rPr>
      </w:r>
    </w:p>
    <w:p>
      <w:pPr>
        <w:pStyle w:val="Normal"/>
        <w:tabs>
          <w:tab w:val="clear" w:pos="708"/>
          <w:tab w:val="left" w:pos="720" w:leader="none"/>
        </w:tabs>
        <w:ind w:right="18"/>
        <w:jc w:val="center"/>
        <w:rPr>
          <w:rFonts w:ascii="Arial" w:hAnsi="Arial" w:cs="Arial"/>
          <w:b/>
          <w:color w:val="000000"/>
          <w:sz w:val="28"/>
          <w:szCs w:val="28"/>
        </w:rPr>
      </w:pPr>
      <w:r>
        <w:rPr>
          <w:rFonts w:cs="Arial" w:ascii="Arial" w:hAnsi="Arial"/>
          <w:b/>
          <w:color w:val="000000"/>
          <w:sz w:val="28"/>
          <w:szCs w:val="28"/>
        </w:rPr>
        <w:t xml:space="preserve">Diplomado en Tanatología Teándrica </w:t>
      </w:r>
      <w:r>
        <w:rPr>
          <w:rFonts w:cs="Arial" w:ascii="Arial" w:hAnsi="Arial"/>
          <w:b/>
          <w:color w:val="000000"/>
          <w:sz w:val="12"/>
          <w:szCs w:val="12"/>
        </w:rPr>
        <w:t>(MR)</w:t>
      </w:r>
      <w:r>
        <w:rPr>
          <w:rFonts w:cs="Arial" w:ascii="Arial" w:hAnsi="Arial"/>
          <w:b/>
          <w:color w:val="000000"/>
          <w:sz w:val="28"/>
          <w:szCs w:val="28"/>
        </w:rPr>
        <w:t xml:space="preserve"> con Enfoque Clínico </w:t>
      </w:r>
      <w:r>
        <w:rPr>
          <w:rFonts w:cs="Arial" w:ascii="Arial" w:hAnsi="Arial"/>
          <w:b/>
          <w:color w:val="000000"/>
          <w:sz w:val="28"/>
          <w:szCs w:val="28"/>
        </w:rPr>
        <w:t>Tercera</w:t>
      </w:r>
      <w:r>
        <w:rPr>
          <w:rFonts w:cs="Arial" w:ascii="Arial" w:hAnsi="Arial"/>
          <w:b/>
          <w:color w:val="000000"/>
          <w:sz w:val="28"/>
          <w:szCs w:val="28"/>
        </w:rPr>
        <w:t xml:space="preserve"> Generación 2026. </w:t>
      </w:r>
    </w:p>
    <w:p>
      <w:pPr>
        <w:pStyle w:val="Normal"/>
        <w:tabs>
          <w:tab w:val="clear" w:pos="708"/>
          <w:tab w:val="left" w:pos="720" w:leader="none"/>
        </w:tabs>
        <w:ind w:right="18"/>
        <w:rPr>
          <w:rFonts w:ascii="Arial" w:hAnsi="Arial" w:cs="Arial"/>
          <w:b/>
          <w:color w:val="000000"/>
          <w:sz w:val="28"/>
          <w:szCs w:val="28"/>
        </w:rPr>
      </w:pPr>
      <w:r>
        <w:rPr>
          <w:rFonts w:cs="Arial" w:ascii="Arial" w:hAnsi="Arial"/>
          <w:b/>
          <w:color w:val="000000"/>
          <w:sz w:val="28"/>
          <w:szCs w:val="28"/>
        </w:rPr>
      </w:r>
    </w:p>
    <w:p>
      <w:pPr>
        <w:pStyle w:val="Normal"/>
        <w:tabs>
          <w:tab w:val="clear" w:pos="708"/>
          <w:tab w:val="left" w:pos="720" w:leader="none"/>
        </w:tabs>
        <w:ind w:right="18"/>
        <w:rPr>
          <w:rFonts w:ascii="Arial" w:hAnsi="Arial" w:cs="Arial"/>
          <w:b/>
          <w:color w:val="000000"/>
          <w:sz w:val="28"/>
          <w:szCs w:val="28"/>
        </w:rPr>
      </w:pPr>
      <w:r>
        <w:rPr>
          <w:rFonts w:cs="Arial" w:ascii="Arial" w:hAnsi="Arial"/>
          <w:b/>
          <w:color w:val="000000"/>
          <w:sz w:val="28"/>
          <w:szCs w:val="28"/>
        </w:rPr>
      </w:r>
    </w:p>
    <w:p>
      <w:pPr>
        <w:pStyle w:val="Normal"/>
        <w:tabs>
          <w:tab w:val="clear" w:pos="708"/>
          <w:tab w:val="left" w:pos="720" w:leader="none"/>
        </w:tabs>
        <w:ind w:right="18"/>
        <w:jc w:val="center"/>
        <w:rPr>
          <w:rFonts w:ascii="Arial" w:hAnsi="Arial" w:cs="Arial"/>
          <w:b/>
          <w:color w:val="000000"/>
          <w:sz w:val="28"/>
          <w:szCs w:val="28"/>
        </w:rPr>
      </w:pPr>
      <w:r>
        <w:rPr>
          <w:rFonts w:cs="Arial" w:ascii="Arial" w:hAnsi="Arial"/>
          <w:b/>
          <w:color w:val="000000"/>
          <w:sz w:val="28"/>
          <w:szCs w:val="28"/>
        </w:rPr>
        <w:t>Manual de Estudio del Módulo 1.</w:t>
      </w:r>
    </w:p>
    <w:p>
      <w:pPr>
        <w:pStyle w:val="Normal"/>
        <w:jc w:val="center"/>
        <w:rPr>
          <w:rFonts w:ascii="Arial" w:hAnsi="Arial" w:cs="Arial"/>
          <w:b/>
          <w:color w:val="000000"/>
          <w:sz w:val="28"/>
          <w:szCs w:val="28"/>
        </w:rPr>
      </w:pPr>
      <w:r>
        <w:rPr>
          <w:rFonts w:cs="Arial" w:ascii="Arial" w:hAnsi="Arial"/>
          <w:b/>
          <w:color w:val="000000"/>
          <w:sz w:val="28"/>
          <w:szCs w:val="28"/>
        </w:rPr>
        <w:t>“</w:t>
      </w:r>
      <w:r>
        <w:rPr>
          <w:rFonts w:cs="Arial" w:ascii="Arial" w:hAnsi="Arial"/>
          <w:b/>
          <w:color w:val="000000"/>
          <w:sz w:val="28"/>
          <w:szCs w:val="28"/>
        </w:rPr>
        <w:t>Introducción a la Tanatología”.</w:t>
      </w:r>
    </w:p>
    <w:p>
      <w:pPr>
        <w:pStyle w:val="Normal"/>
        <w:jc w:val="center"/>
        <w:rPr>
          <w:rFonts w:ascii="Arial" w:hAnsi="Arial" w:cs="Arial"/>
          <w:b/>
          <w:color w:val="000000"/>
          <w:sz w:val="28"/>
          <w:szCs w:val="28"/>
        </w:rPr>
      </w:pPr>
      <w:r>
        <w:rPr>
          <w:rFonts w:cs="Arial" w:ascii="Arial" w:hAnsi="Arial"/>
          <w:b/>
          <w:color w:val="000000"/>
          <w:sz w:val="28"/>
          <w:szCs w:val="28"/>
        </w:rPr>
        <w:drawing>
          <wp:anchor behindDoc="0" distT="0" distB="0" distL="0" distR="0" simplePos="0" locked="0" layoutInCell="0" allowOverlap="1" relativeHeight="2">
            <wp:simplePos x="0" y="0"/>
            <wp:positionH relativeFrom="column">
              <wp:posOffset>1409065</wp:posOffset>
            </wp:positionH>
            <wp:positionV relativeFrom="paragraph">
              <wp:posOffset>38100</wp:posOffset>
            </wp:positionV>
            <wp:extent cx="2842260" cy="2845435"/>
            <wp:effectExtent l="0" t="0" r="0" b="0"/>
            <wp:wrapSquare wrapText="largest"/>
            <wp:docPr id="2" name="Imagen1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Copia 1" descr=""/>
                    <pic:cNvPicPr>
                      <a:picLocks noChangeAspect="1" noChangeArrowheads="1"/>
                    </pic:cNvPicPr>
                  </pic:nvPicPr>
                  <pic:blipFill>
                    <a:blip r:embed="rId3"/>
                    <a:stretch>
                      <a:fillRect/>
                    </a:stretch>
                  </pic:blipFill>
                  <pic:spPr bwMode="auto">
                    <a:xfrm>
                      <a:off x="0" y="0"/>
                      <a:ext cx="2842260" cy="2845435"/>
                    </a:xfrm>
                    <a:prstGeom prst="rect">
                      <a:avLst/>
                    </a:prstGeom>
                  </pic:spPr>
                </pic:pic>
              </a:graphicData>
            </a:graphic>
          </wp:anchor>
        </w:drawing>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center"/>
        <w:rPr>
          <w:rFonts w:ascii="Arial" w:hAnsi="Arial" w:cs="Arial"/>
          <w:b/>
          <w:color w:val="000000"/>
          <w:sz w:val="28"/>
          <w:szCs w:val="28"/>
        </w:rPr>
      </w:pPr>
      <w:r>
        <w:rPr>
          <w:rFonts w:cs="Arial" w:ascii="Arial" w:hAnsi="Arial"/>
          <w:b/>
          <w:color w:val="000000"/>
          <w:sz w:val="28"/>
          <w:szCs w:val="28"/>
        </w:rPr>
      </w:r>
    </w:p>
    <w:p>
      <w:pPr>
        <w:pStyle w:val="Normal"/>
        <w:jc w:val="right"/>
        <w:rPr>
          <w:rFonts w:ascii="Arial" w:hAnsi="Arial" w:cs="Arial"/>
          <w:b/>
          <w:bCs/>
        </w:rPr>
      </w:pPr>
      <w:r>
        <w:rPr>
          <w:rFonts w:cs="Arial" w:ascii="Arial" w:hAnsi="Arial"/>
          <w:b/>
          <w:bCs/>
        </w:rPr>
        <w:t xml:space="preserve">Elaborado por: Dr. Marco Antonio López Galicia. </w:t>
      </w:r>
    </w:p>
    <w:p>
      <w:pPr>
        <w:pStyle w:val="Normal"/>
        <w:jc w:val="right"/>
        <w:rPr>
          <w:rFonts w:ascii="Arial" w:hAnsi="Arial" w:cs="Arial"/>
          <w:b/>
          <w:bCs/>
        </w:rPr>
      </w:pPr>
      <w:r>
        <w:rPr>
          <w:rFonts w:cs="Arial" w:ascii="Arial" w:hAnsi="Arial"/>
          <w:b/>
          <w:bCs/>
        </w:rPr>
        <w:t>Tanatólogo.</w:t>
      </w:r>
    </w:p>
    <w:p>
      <w:pPr>
        <w:pStyle w:val="Normal"/>
        <w:jc w:val="right"/>
        <w:rPr>
          <w:rFonts w:ascii="Arial" w:hAnsi="Arial" w:cs="Arial"/>
          <w:b/>
          <w:bCs/>
        </w:rPr>
      </w:pPr>
      <w:r>
        <w:rPr>
          <w:rFonts w:cs="Arial" w:ascii="Arial" w:hAnsi="Arial"/>
          <w:b/>
          <w:bCs/>
        </w:rPr>
        <w:t xml:space="preserve">01 de </w:t>
      </w:r>
      <w:r>
        <w:rPr>
          <w:rFonts w:cs="Arial" w:ascii="Arial" w:hAnsi="Arial"/>
          <w:b/>
          <w:bCs/>
        </w:rPr>
        <w:t>septiembre</w:t>
      </w:r>
      <w:r>
        <w:rPr>
          <w:rFonts w:cs="Arial" w:ascii="Arial" w:hAnsi="Arial"/>
          <w:b/>
          <w:bCs/>
        </w:rPr>
        <w:t xml:space="preserve"> de 2026.  </w:t>
      </w:r>
    </w:p>
    <w:p>
      <w:pPr>
        <w:pStyle w:val="Normal"/>
        <w:jc w:val="right"/>
        <w:rPr>
          <w:sz w:val="12"/>
          <w:szCs w:val="12"/>
        </w:rPr>
      </w:pPr>
      <w:r>
        <w:rPr>
          <w:rFonts w:cs="Arial" w:ascii="Arial" w:hAnsi="Arial"/>
          <w:b/>
          <w:bCs/>
          <w:sz w:val="12"/>
          <w:szCs w:val="12"/>
        </w:rPr>
        <w:t>Derechos Reservados Registro en Tramite INDAUTOR.</w:t>
      </w:r>
    </w:p>
    <w:p>
      <w:pPr>
        <w:pStyle w:val="Normal"/>
        <w:jc w:val="right"/>
        <w:rPr>
          <w:rFonts w:ascii="Arial" w:hAnsi="Arial" w:cs="Arial"/>
          <w:b/>
          <w:bCs/>
        </w:rPr>
      </w:pPr>
      <w:r>
        <w:rPr>
          <w:rFonts w:cs="Arial" w:ascii="Arial" w:hAnsi="Arial"/>
          <w:b/>
          <w:bCs/>
        </w:rPr>
      </w:r>
    </w:p>
    <w:p>
      <w:pPr>
        <w:pStyle w:val="Normal"/>
        <w:spacing w:lineRule="auto" w:line="240" w:before="0" w:after="29"/>
        <w:jc w:val="right"/>
        <w:rPr>
          <w:sz w:val="12"/>
          <w:szCs w:val="12"/>
        </w:rPr>
      </w:pPr>
      <w:r>
        <w:drawing>
          <wp:anchor behindDoc="0" distT="0" distB="0" distL="0" distR="0" simplePos="0" locked="0" layoutInCell="0" allowOverlap="1" relativeHeight="5">
            <wp:simplePos x="0" y="0"/>
            <wp:positionH relativeFrom="column">
              <wp:posOffset>4781550</wp:posOffset>
            </wp:positionH>
            <wp:positionV relativeFrom="paragraph">
              <wp:posOffset>-855345</wp:posOffset>
            </wp:positionV>
            <wp:extent cx="785495" cy="786130"/>
            <wp:effectExtent l="0" t="0" r="0" b="0"/>
            <wp:wrapSquare wrapText="largest"/>
            <wp:docPr id="3" name="Imagen1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 Copia 2" descr=""/>
                    <pic:cNvPicPr>
                      <a:picLocks noChangeAspect="1" noChangeArrowheads="1"/>
                    </pic:cNvPicPr>
                  </pic:nvPicPr>
                  <pic:blipFill>
                    <a:blip r:embed="rId4"/>
                    <a:stretch>
                      <a:fillRect/>
                    </a:stretch>
                  </pic:blipFill>
                  <pic:spPr bwMode="auto">
                    <a:xfrm>
                      <a:off x="0" y="0"/>
                      <a:ext cx="785495" cy="786130"/>
                    </a:xfrm>
                    <a:prstGeom prst="rect">
                      <a:avLst/>
                    </a:prstGeom>
                  </pic:spPr>
                </pic:pic>
              </a:graphicData>
            </a:graphic>
          </wp:anchor>
        </w:drawing>
      </w:r>
      <w:r>
        <w:rPr>
          <w:rFonts w:cs="Arial" w:ascii="Arial" w:hAnsi="Arial"/>
          <w:b/>
          <w:bCs/>
          <w:sz w:val="12"/>
          <w:szCs w:val="12"/>
        </w:rPr>
        <w:t>Centro de Tanatología Atman Dhyana.</w:t>
      </w:r>
    </w:p>
    <w:p>
      <w:pPr>
        <w:pStyle w:val="Normal"/>
        <w:spacing w:lineRule="auto" w:line="240" w:before="0" w:after="29"/>
        <w:jc w:val="right"/>
        <w:rPr>
          <w:sz w:val="12"/>
          <w:szCs w:val="12"/>
        </w:rPr>
      </w:pPr>
      <w:r>
        <w:rPr>
          <w:rFonts w:cs="Arial" w:ascii="Arial" w:hAnsi="Arial"/>
          <w:b/>
          <w:bCs/>
          <w:sz w:val="12"/>
          <w:szCs w:val="12"/>
        </w:rPr>
        <w:t xml:space="preserve">Diplomado en Tanatología Teándrica con Enfoque Clínico </w:t>
      </w:r>
      <w:r>
        <w:rPr>
          <w:rFonts w:cs="Arial" w:ascii="Arial" w:hAnsi="Arial"/>
          <w:b/>
          <w:bCs/>
          <w:sz w:val="12"/>
          <w:szCs w:val="12"/>
        </w:rPr>
        <w:t>3r</w:t>
      </w:r>
      <w:r>
        <w:rPr>
          <w:rFonts w:cs="Arial" w:ascii="Arial" w:hAnsi="Arial"/>
          <w:b/>
          <w:bCs/>
          <w:sz w:val="12"/>
          <w:szCs w:val="12"/>
        </w:rPr>
        <w:t>a Generación.</w:t>
      </w:r>
    </w:p>
    <w:p>
      <w:pPr>
        <w:pStyle w:val="Normal"/>
        <w:spacing w:lineRule="auto" w:line="240" w:before="0" w:after="29"/>
        <w:jc w:val="right"/>
        <w:rPr>
          <w:sz w:val="12"/>
          <w:szCs w:val="12"/>
        </w:rPr>
      </w:pPr>
      <w:r>
        <w:rPr>
          <w:rFonts w:cs="Arial" w:ascii="Arial" w:hAnsi="Arial"/>
          <w:b/>
          <w:bCs/>
          <w:sz w:val="12"/>
          <w:szCs w:val="12"/>
        </w:rPr>
        <w:t>Manual de Estudio del Módulo 1.</w:t>
      </w:r>
    </w:p>
    <w:p>
      <w:pPr>
        <w:pStyle w:val="Normal"/>
        <w:spacing w:lineRule="auto" w:line="240" w:before="0" w:after="29"/>
        <w:jc w:val="right"/>
        <w:rPr>
          <w:sz w:val="12"/>
          <w:szCs w:val="12"/>
        </w:rPr>
      </w:pPr>
      <w:r>
        <w:rPr>
          <w:rFonts w:cs="Arial" w:ascii="Arial" w:hAnsi="Arial"/>
          <w:b/>
          <w:bCs/>
          <w:sz w:val="12"/>
          <w:szCs w:val="12"/>
        </w:rPr>
        <w:t xml:space="preserve">Marco Antonio López  Galicia, 2026. Todos los derechos reservados  </w:t>
      </w:r>
    </w:p>
    <w:p>
      <w:pPr>
        <w:pStyle w:val="Normal"/>
        <w:spacing w:lineRule="auto" w:line="240" w:before="0" w:after="29"/>
        <w:jc w:val="right"/>
        <w:rPr>
          <w:sz w:val="12"/>
          <w:szCs w:val="12"/>
        </w:rPr>
      </w:pPr>
      <w:r>
        <w:rPr>
          <w:rFonts w:cs="Arial" w:ascii="Arial" w:hAnsi="Arial"/>
          <w:b/>
          <w:bCs/>
          <w:sz w:val="12"/>
          <w:szCs w:val="12"/>
        </w:rPr>
        <w:t>México.</w:t>
      </w:r>
    </w:p>
    <w:p>
      <w:pPr>
        <w:pStyle w:val="Normal"/>
        <w:spacing w:lineRule="auto" w:line="240" w:before="0" w:after="29"/>
        <w:jc w:val="right"/>
        <w:rPr>
          <w:sz w:val="12"/>
          <w:szCs w:val="12"/>
        </w:rPr>
      </w:pPr>
      <w:r>
        <w:rPr>
          <w:rFonts w:cs="Arial" w:ascii="Arial" w:hAnsi="Arial"/>
          <w:b/>
          <w:bCs/>
          <w:sz w:val="12"/>
          <w:szCs w:val="12"/>
        </w:rPr>
        <w:t>Esta obra consta de 1</w:t>
      </w:r>
      <w:r>
        <w:rPr>
          <w:rFonts w:cs="Arial" w:ascii="Arial" w:hAnsi="Arial"/>
          <w:b/>
          <w:bCs/>
          <w:sz w:val="12"/>
          <w:szCs w:val="12"/>
        </w:rPr>
        <w:t>7</w:t>
      </w:r>
      <w:r>
        <w:rPr>
          <w:rFonts w:cs="Arial" w:ascii="Arial" w:hAnsi="Arial"/>
          <w:b/>
          <w:bCs/>
          <w:sz w:val="12"/>
          <w:szCs w:val="12"/>
        </w:rPr>
        <w:t xml:space="preserve"> páginas.</w:t>
      </w:r>
    </w:p>
    <w:p>
      <w:pPr>
        <w:pStyle w:val="Normal"/>
        <w:spacing w:lineRule="auto" w:line="240" w:before="0" w:after="29"/>
        <w:jc w:val="right"/>
        <w:rPr>
          <w:sz w:val="12"/>
          <w:szCs w:val="12"/>
        </w:rPr>
      </w:pPr>
      <w:r>
        <w:rPr>
          <w:rFonts w:cs="Arial" w:ascii="Arial" w:hAnsi="Arial"/>
          <w:b/>
          <w:bCs/>
          <w:sz w:val="12"/>
          <w:szCs w:val="12"/>
        </w:rPr>
        <w:t>ISBN: en trámite.</w:t>
      </w:r>
    </w:p>
    <w:p>
      <w:pPr>
        <w:pStyle w:val="Normal"/>
        <w:spacing w:lineRule="auto" w:line="240" w:before="0" w:after="29"/>
        <w:jc w:val="right"/>
        <w:rPr>
          <w:sz w:val="12"/>
          <w:szCs w:val="12"/>
        </w:rPr>
      </w:pPr>
      <w:r>
        <w:rPr>
          <w:rFonts w:cs="Arial" w:ascii="Arial" w:hAnsi="Arial"/>
          <w:b/>
          <w:bCs/>
          <w:sz w:val="12"/>
          <w:szCs w:val="12"/>
        </w:rPr>
        <w:t xml:space="preserve">Registro de Marca en IMPI: en trámite.  </w:t>
      </w:r>
    </w:p>
    <w:p>
      <w:pPr>
        <w:pStyle w:val="Normal"/>
        <w:spacing w:lineRule="auto" w:line="240" w:before="0" w:after="29"/>
        <w:jc w:val="right"/>
        <w:rPr>
          <w:sz w:val="12"/>
          <w:szCs w:val="12"/>
        </w:rPr>
      </w:pPr>
      <w:r>
        <w:rPr>
          <w:rFonts w:cs="Arial" w:ascii="Arial" w:hAnsi="Arial"/>
          <w:b/>
          <w:bCs/>
          <w:sz w:val="12"/>
          <w:szCs w:val="12"/>
        </w:rPr>
        <w:t xml:space="preserve">Se permite la reproducción del libro únicamente para fines académicos, </w:t>
      </w:r>
    </w:p>
    <w:p>
      <w:pPr>
        <w:pStyle w:val="Normal"/>
        <w:spacing w:lineRule="auto" w:line="240" w:before="0" w:after="29"/>
        <w:jc w:val="right"/>
        <w:rPr>
          <w:sz w:val="12"/>
          <w:szCs w:val="12"/>
        </w:rPr>
      </w:pPr>
      <w:r>
        <w:rPr>
          <w:rFonts w:cs="Arial" w:ascii="Arial" w:hAnsi="Arial"/>
          <w:b/>
          <w:bCs/>
          <w:sz w:val="12"/>
          <w:szCs w:val="12"/>
        </w:rPr>
        <w:t xml:space="preserve">siempre que se cite expresamente la fuente. </w:t>
      </w:r>
    </w:p>
    <w:p>
      <w:pPr>
        <w:pStyle w:val="Normal"/>
        <w:jc w:val="right"/>
        <w:rPr>
          <w:rFonts w:ascii="Arial" w:hAnsi="Arial" w:cs="Arial"/>
          <w:b/>
          <w:bCs/>
        </w:rPr>
      </w:pPr>
      <w:r>
        <w:rPr>
          <w:strike w:val="false"/>
          <w:dstrike w:val="false"/>
          <w:color w:val="000000"/>
          <w:sz w:val="16"/>
          <w:u w:val="none"/>
        </w:rPr>
        <w:t xml:space="preserve"> </w:t>
      </w:r>
    </w:p>
    <w:p>
      <w:pPr>
        <w:pStyle w:val="Normal"/>
        <w:jc w:val="right"/>
        <w:rPr>
          <w:rFonts w:ascii="Arial" w:hAnsi="Arial" w:cs="Arial"/>
          <w:b/>
          <w:bCs/>
        </w:rPr>
      </w:pPr>
      <w:r>
        <w:rPr>
          <w:rFonts w:cs="Arial" w:ascii="Arial" w:hAnsi="Arial"/>
          <w:b/>
          <w:bCs/>
        </w:rPr>
      </w:r>
    </w:p>
    <w:p>
      <w:pPr>
        <w:pStyle w:val="Normal"/>
        <w:jc w:val="right"/>
        <w:rPr>
          <w:rFonts w:ascii="Arial" w:hAnsi="Arial" w:cs="Arial"/>
          <w:b/>
          <w:bCs/>
        </w:rPr>
      </w:pPr>
      <w:r>
        <w:rPr>
          <w:rFonts w:cs="Arial" w:ascii="Arial" w:hAnsi="Arial"/>
          <w:b/>
          <w:bCs/>
        </w:rPr>
      </w:r>
    </w:p>
    <w:p>
      <w:pPr>
        <w:pStyle w:val="Normal"/>
        <w:jc w:val="right"/>
        <w:rPr>
          <w:rFonts w:ascii="Arial" w:hAnsi="Arial" w:cs="Arial"/>
          <w:b/>
          <w:bCs/>
        </w:rPr>
      </w:pPr>
      <w:r>
        <w:rPr>
          <w:rFonts w:cs="Arial" w:ascii="Arial" w:hAnsi="Arial"/>
          <w:b/>
          <w:bCs/>
        </w:rPr>
      </w:r>
    </w:p>
    <w:p>
      <w:pPr>
        <w:pStyle w:val="Normal"/>
        <w:tabs>
          <w:tab w:val="clear" w:pos="708"/>
          <w:tab w:val="left" w:pos="720" w:leader="none"/>
        </w:tabs>
        <w:spacing w:lineRule="auto" w:line="240"/>
        <w:ind w:left="277" w:right="18"/>
        <w:jc w:val="center"/>
        <w:rPr>
          <w:sz w:val="22"/>
          <w:szCs w:val="22"/>
        </w:rPr>
      </w:pPr>
      <w:r>
        <w:rPr>
          <w:rFonts w:cs="Arial" w:ascii="Arial" w:hAnsi="Arial"/>
          <w:b/>
          <w:color w:val="000000"/>
          <w:sz w:val="22"/>
          <w:szCs w:val="22"/>
        </w:rPr>
        <w:t>TEMAS DEL MÓDULO 1.</w:t>
      </w:r>
      <w:r>
        <w:rPr>
          <w:rFonts w:cs="Arial" w:ascii="Arial" w:hAnsi="Arial"/>
          <w:b/>
          <w:sz w:val="22"/>
          <w:szCs w:val="22"/>
        </w:rPr>
        <w:t xml:space="preserve"> </w:t>
      </w:r>
    </w:p>
    <w:p>
      <w:pPr>
        <w:pStyle w:val="BodyText"/>
        <w:spacing w:before="0" w:after="283"/>
        <w:ind w:hanging="0" w:left="0" w:right="0"/>
        <w:jc w:val="both"/>
        <w:rPr>
          <w:rFonts w:ascii="Arial;sans-serif" w:hAnsi="Arial;sans-serif"/>
          <w:b/>
          <w:sz w:val="22"/>
          <w:szCs w:val="22"/>
        </w:rPr>
      </w:pPr>
      <w:r>
        <w:rPr>
          <w:rFonts w:ascii="Arial;sans-serif" w:hAnsi="Arial;sans-serif"/>
          <w:b/>
          <w:sz w:val="22"/>
          <w:szCs w:val="22"/>
        </w:rPr>
      </w:r>
    </w:p>
    <w:p>
      <w:pPr>
        <w:pStyle w:val="BodyText"/>
        <w:spacing w:before="0" w:after="283"/>
        <w:ind w:hanging="0" w:left="0" w:right="0"/>
        <w:jc w:val="both"/>
        <w:rPr>
          <w:rFonts w:ascii="Arial;sans-serif" w:hAnsi="Arial;sans-serif"/>
          <w:b/>
          <w:sz w:val="22"/>
          <w:szCs w:val="22"/>
        </w:rPr>
      </w:pPr>
      <w:r>
        <w:rPr>
          <w:rFonts w:ascii="Arial;sans-serif" w:hAnsi="Arial;sans-serif"/>
          <w:b/>
          <w:sz w:val="22"/>
          <w:szCs w:val="22"/>
        </w:rPr>
        <w:t>Módulo 1. Introducción a la Tanatología.</w:t>
      </w:r>
    </w:p>
    <w:p>
      <w:pPr>
        <w:pStyle w:val="BodyText"/>
        <w:spacing w:before="0" w:after="283"/>
        <w:ind w:hanging="0" w:left="0" w:right="0"/>
        <w:jc w:val="both"/>
        <w:rPr>
          <w:rFonts w:ascii="Arial;sans-serif" w:hAnsi="Arial;sans-serif"/>
          <w:b/>
          <w:bCs/>
          <w:sz w:val="22"/>
          <w:szCs w:val="22"/>
        </w:rPr>
      </w:pPr>
      <w:r>
        <w:rPr>
          <w:rFonts w:ascii="Arial;sans-serif" w:hAnsi="Arial;sans-serif"/>
          <w:b/>
          <w:bCs/>
          <w:sz w:val="22"/>
          <w:szCs w:val="22"/>
        </w:rPr>
        <w:t>1.1. Introducción a la Tanatología y sus campos de aplicación. </w:t>
      </w:r>
    </w:p>
    <w:p>
      <w:pPr>
        <w:pStyle w:val="BodyText"/>
        <w:spacing w:before="0" w:after="283"/>
        <w:ind w:hanging="0" w:left="0" w:right="0"/>
        <w:jc w:val="both"/>
        <w:rPr>
          <w:rFonts w:ascii="Arial;sans-serif" w:hAnsi="Arial;sans-serif"/>
          <w:b/>
          <w:bCs/>
          <w:sz w:val="22"/>
          <w:szCs w:val="22"/>
        </w:rPr>
      </w:pPr>
      <w:r>
        <w:rPr>
          <w:rFonts w:ascii="Arial;sans-serif" w:hAnsi="Arial;sans-serif"/>
          <w:b/>
          <w:bCs/>
          <w:sz w:val="22"/>
          <w:szCs w:val="22"/>
        </w:rPr>
        <w:t>1.2.  Nociones Generales sobre Tanatología, Ciencia y Espiritualidad.</w:t>
      </w:r>
    </w:p>
    <w:p>
      <w:pPr>
        <w:pStyle w:val="BodyText"/>
        <w:spacing w:before="0" w:after="283"/>
        <w:ind w:hanging="0" w:left="0" w:right="0"/>
        <w:jc w:val="both"/>
        <w:rPr>
          <w:rFonts w:ascii="Arial;sans-serif" w:hAnsi="Arial;sans-serif"/>
          <w:b/>
          <w:bCs/>
          <w:sz w:val="22"/>
          <w:szCs w:val="22"/>
        </w:rPr>
      </w:pPr>
      <w:r>
        <w:rPr>
          <w:rFonts w:ascii="Arial;sans-serif" w:hAnsi="Arial;sans-serif"/>
          <w:b/>
          <w:bCs/>
          <w:sz w:val="22"/>
          <w:szCs w:val="22"/>
        </w:rPr>
        <w:t>1.3.  El ser humano y sus estructuras bio-psico-social, espiritual y las estructuras superiores.</w:t>
      </w:r>
    </w:p>
    <w:p>
      <w:pPr>
        <w:pStyle w:val="BodyText"/>
        <w:spacing w:before="0" w:after="283"/>
        <w:ind w:hanging="0" w:left="0" w:right="0"/>
        <w:jc w:val="both"/>
        <w:rPr>
          <w:rFonts w:ascii="Arial;sans-serif" w:hAnsi="Arial;sans-serif"/>
          <w:b/>
          <w:bCs/>
          <w:sz w:val="22"/>
          <w:szCs w:val="22"/>
        </w:rPr>
      </w:pPr>
      <w:r>
        <w:rPr>
          <w:rFonts w:ascii="Arial;sans-serif" w:hAnsi="Arial;sans-serif"/>
          <w:b/>
          <w:bCs/>
          <w:sz w:val="22"/>
          <w:szCs w:val="22"/>
        </w:rPr>
        <w:t>1.4. Estudio bioético, social, espiritual, religioso y jurídico de la muerte, la distanacia, la ortotanasia y eutanasia para comprender la trascendencia de la vida. </w:t>
      </w:r>
    </w:p>
    <w:p>
      <w:pPr>
        <w:pStyle w:val="Normal1"/>
        <w:spacing w:lineRule="auto" w:line="240" w:before="0" w:after="0"/>
        <w:ind w:hanging="0" w:left="-283" w:right="-220"/>
        <w:jc w:val="both"/>
        <w:rPr>
          <w:rFonts w:ascii="Arial" w:hAnsi="Arial" w:cs="Arial"/>
          <w:b/>
          <w:sz w:val="22"/>
          <w:szCs w:val="22"/>
        </w:rPr>
      </w:pPr>
      <w:r>
        <w:rPr>
          <w:rFonts w:cs="Arial" w:ascii="Arial" w:hAnsi="Arial"/>
          <w:b/>
          <w:sz w:val="22"/>
          <w:szCs w:val="22"/>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240" w:before="0" w:after="0"/>
        <w:ind w:hanging="0" w:left="-283" w:right="-220"/>
        <w:jc w:val="both"/>
        <w:rPr>
          <w:rFonts w:ascii="Arial" w:hAnsi="Arial"/>
          <w:b/>
          <w:bCs/>
        </w:rPr>
      </w:pPr>
      <w:r>
        <w:rPr>
          <w:rFonts w:ascii="Arial" w:hAnsi="Arial"/>
          <w:b/>
          <w:bCs/>
        </w:rPr>
        <w:drawing>
          <wp:anchor behindDoc="0" distT="0" distB="0" distL="0" distR="0" simplePos="0" locked="0" layoutInCell="0" allowOverlap="1" relativeHeight="6">
            <wp:simplePos x="0" y="0"/>
            <wp:positionH relativeFrom="column">
              <wp:posOffset>4781550</wp:posOffset>
            </wp:positionH>
            <wp:positionV relativeFrom="paragraph">
              <wp:posOffset>-855345</wp:posOffset>
            </wp:positionV>
            <wp:extent cx="785495" cy="786130"/>
            <wp:effectExtent l="0" t="0" r="0" b="0"/>
            <wp:wrapSquare wrapText="largest"/>
            <wp:docPr id="4" name="Imagen1 Copia 2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Copia 2 Copia 1" descr=""/>
                    <pic:cNvPicPr>
                      <a:picLocks noChangeAspect="1" noChangeArrowheads="1"/>
                    </pic:cNvPicPr>
                  </pic:nvPicPr>
                  <pic:blipFill>
                    <a:blip r:embed="rId5"/>
                    <a:stretch>
                      <a:fillRect/>
                    </a:stretch>
                  </pic:blipFill>
                  <pic:spPr bwMode="auto">
                    <a:xfrm>
                      <a:off x="0" y="0"/>
                      <a:ext cx="785495" cy="786130"/>
                    </a:xfrm>
                    <a:prstGeom prst="rect">
                      <a:avLst/>
                    </a:prstGeom>
                  </pic:spPr>
                </pic:pic>
              </a:graphicData>
            </a:graphic>
          </wp:anchor>
        </w:drawing>
      </w:r>
    </w:p>
    <w:p>
      <w:pPr>
        <w:pStyle w:val="Normal1"/>
        <w:spacing w:lineRule="auto" w:line="240" w:before="0" w:after="0"/>
        <w:ind w:hanging="0" w:left="-283" w:right="-220"/>
        <w:jc w:val="both"/>
        <w:rPr>
          <w:rFonts w:ascii="Arial" w:hAnsi="Arial"/>
          <w:b/>
          <w:bCs/>
        </w:rPr>
      </w:pPr>
      <w:r>
        <w:rPr>
          <w:rFonts w:ascii="Arial" w:hAnsi="Arial"/>
          <w:b/>
          <w:bCs/>
        </w:rPr>
      </w:r>
    </w:p>
    <w:p>
      <w:pPr>
        <w:pStyle w:val="Normal1"/>
        <w:spacing w:lineRule="auto" w:line="360"/>
        <w:ind w:hanging="0" w:left="-283" w:right="-220"/>
        <w:jc w:val="both"/>
        <w:rPr>
          <w:rFonts w:ascii="Arial" w:hAnsi="Arial"/>
          <w:sz w:val="22"/>
          <w:szCs w:val="22"/>
        </w:rPr>
      </w:pPr>
      <w:r>
        <w:rPr>
          <w:rFonts w:eastAsia="Times New Roman" w:cs="Times New Roman" w:ascii="Arial" w:hAnsi="Arial"/>
          <w:b/>
          <w:position w:val="0"/>
          <w:sz w:val="22"/>
          <w:sz w:val="22"/>
          <w:szCs w:val="22"/>
          <w:vertAlign w:val="baseline"/>
        </w:rPr>
        <w:t>1. Presentación General del Módulo.</w:t>
      </w:r>
    </w:p>
    <w:p>
      <w:pPr>
        <w:pStyle w:val="Normal1"/>
        <w:spacing w:lineRule="auto" w:line="360"/>
        <w:ind w:hanging="0" w:left="-283" w:right="-220"/>
        <w:jc w:val="both"/>
        <w:rPr>
          <w:rFonts w:ascii="Arial" w:hAnsi="Arial"/>
          <w:sz w:val="22"/>
          <w:szCs w:val="22"/>
        </w:rPr>
      </w:pPr>
      <w:r>
        <w:rPr>
          <w:rFonts w:eastAsia="Times New Roman" w:cs="Times New Roman" w:ascii="Arial" w:hAnsi="Arial"/>
          <w:position w:val="0"/>
          <w:sz w:val="22"/>
          <w:sz w:val="22"/>
          <w:szCs w:val="22"/>
          <w:vertAlign w:val="baseline"/>
        </w:rPr>
        <w:tab/>
        <w:t xml:space="preserve">En el Módulo 1 del Diplomado en Tanatología Teándrica con enfoque clínico,  se busca acercar a los participantes al conocimiento de la Tanatología, sus aportes para el manejo de las pérdidas y duelos desde el estudio del ser humano, el inicio de la vida y el acontecer de la muerte, para acercar a las estructuras bio-psico-social y espiritual; acercarse desde la espiritualidad humana al propósito de la vida y mejoramiento de la salud humana para una existencia </w:t>
      </w:r>
      <w:r>
        <w:rPr>
          <w:rFonts w:eastAsia="Times New Roman" w:cs="Times New Roman" w:ascii="Arial" w:hAnsi="Arial"/>
          <w:sz w:val="22"/>
          <w:szCs w:val="22"/>
        </w:rPr>
        <w:t>más</w:t>
      </w:r>
      <w:r>
        <w:rPr>
          <w:rFonts w:eastAsia="Times New Roman" w:cs="Times New Roman" w:ascii="Arial" w:hAnsi="Arial"/>
          <w:position w:val="0"/>
          <w:sz w:val="22"/>
          <w:sz w:val="22"/>
          <w:szCs w:val="22"/>
          <w:vertAlign w:val="baseline"/>
        </w:rPr>
        <w:t xml:space="preserve"> plena</w:t>
      </w:r>
      <w:r>
        <w:rPr>
          <w:rFonts w:eastAsia="Times New Roman" w:cs="Times New Roman" w:ascii="Arial" w:hAnsi="Arial"/>
          <w:sz w:val="22"/>
          <w:szCs w:val="22"/>
        </w:rPr>
        <w:t>.</w:t>
      </w:r>
      <w:r>
        <w:rPr>
          <w:rFonts w:eastAsia="Times New Roman" w:cs="Times New Roman" w:ascii="Arial" w:hAnsi="Arial"/>
          <w:position w:val="0"/>
          <w:sz w:val="22"/>
          <w:sz w:val="22"/>
          <w:szCs w:val="22"/>
          <w:vertAlign w:val="baseline"/>
        </w:rPr>
        <w:t xml:space="preserve"> Se buscara también que se entiendan cuáles son los campos de aplicación de la Tanatología, para que los participantes puedan identificar en que áreas pueden aplicar éste conocimiento.</w:t>
      </w:r>
    </w:p>
    <w:p>
      <w:pPr>
        <w:pStyle w:val="Normal1"/>
        <w:spacing w:lineRule="auto" w:line="360"/>
        <w:ind w:hanging="0" w:left="-283" w:right="-220"/>
        <w:jc w:val="both"/>
        <w:rPr>
          <w:rFonts w:ascii="Arial" w:hAnsi="Arial"/>
          <w:sz w:val="22"/>
          <w:szCs w:val="22"/>
        </w:rPr>
      </w:pPr>
      <w:r>
        <w:rPr>
          <w:rFonts w:eastAsia="Times New Roman" w:cs="Times New Roman" w:ascii="Arial" w:hAnsi="Arial"/>
          <w:sz w:val="22"/>
          <w:szCs w:val="22"/>
        </w:rPr>
        <w:t>E</w:t>
      </w:r>
      <w:r>
        <w:rPr>
          <w:rFonts w:eastAsia="Times New Roman" w:cs="Times New Roman" w:ascii="Arial" w:hAnsi="Arial"/>
          <w:position w:val="0"/>
          <w:sz w:val="22"/>
          <w:sz w:val="22"/>
          <w:szCs w:val="22"/>
          <w:vertAlign w:val="baseline"/>
        </w:rPr>
        <w:t>l módulo busca aporta elementos teóricos y prácticos sobre tanatología, ciencia y espiritualidad, que son necesarios para comprender la Tanatología Teándrica, es decir comprender las estructuras del ser humano bío-psico-social y espiritual, el porque nos referimos a estas como estructuras básicas, y las estructuras superiores del ser humano que son aquellas donde se encuentran todos los recursos potenciales donde el ser humano puede mejorar su salud, ésto en beneficio para todas aquellas personas que desean mejorar su experiencia de vida humana y sanar sus duelos y pérdidas</w:t>
      </w:r>
      <w:r>
        <w:rPr>
          <w:rFonts w:eastAsia="Times New Roman" w:cs="Times New Roman" w:ascii="Arial" w:hAnsi="Arial"/>
          <w:sz w:val="22"/>
          <w:szCs w:val="22"/>
        </w:rPr>
        <w:t xml:space="preserve">. El módulo permitirá clarificar </w:t>
      </w:r>
      <w:r>
        <w:rPr>
          <w:rFonts w:eastAsia="Times New Roman" w:cs="Times New Roman" w:ascii="Arial" w:hAnsi="Arial"/>
          <w:position w:val="0"/>
          <w:sz w:val="22"/>
          <w:sz w:val="22"/>
          <w:szCs w:val="22"/>
          <w:vertAlign w:val="baseline"/>
        </w:rPr>
        <w:t xml:space="preserve"> alternativas desde la Tanatología para mejorar la salud y ser un ser humano más pleno, así como para poder generar aprendizajes trascendentes que permitan resolver las cuestiones fundamentales de la vida humana. Para finalizar la reflexión tener nociones bioéticas, sociales, espirituales, religiosas y jurídicas de la muerte y la eutanasia y sus derivados para comprender la trascendencia de la vida.  </w:t>
      </w:r>
    </w:p>
    <w:p>
      <w:pPr>
        <w:pStyle w:val="Normal1"/>
        <w:spacing w:lineRule="auto" w:line="360"/>
        <w:ind w:hanging="0" w:left="-283" w:right="-220"/>
        <w:jc w:val="both"/>
        <w:rPr>
          <w:rFonts w:cs="Arial"/>
          <w:b/>
        </w:rPr>
      </w:pPr>
      <w:r>
        <w:rPr>
          <w:rFonts w:cs="Arial"/>
          <w:b/>
        </w:rPr>
      </w:r>
    </w:p>
    <w:p>
      <w:pPr>
        <w:pStyle w:val="Normal1"/>
        <w:spacing w:lineRule="auto" w:line="360"/>
        <w:ind w:hanging="0" w:left="-283" w:right="-220"/>
        <w:jc w:val="both"/>
        <w:rPr>
          <w:rFonts w:cs="Arial"/>
          <w:b/>
        </w:rPr>
      </w:pPr>
      <w:r>
        <w:rPr>
          <w:rFonts w:cs="Arial"/>
          <w:b/>
        </w:rPr>
      </w:r>
    </w:p>
    <w:p>
      <w:pPr>
        <w:pStyle w:val="Normal1"/>
        <w:spacing w:lineRule="auto" w:line="360"/>
        <w:ind w:hanging="0" w:left="-283" w:right="-220"/>
        <w:jc w:val="both"/>
        <w:rPr>
          <w:rFonts w:cs="Arial"/>
          <w:b/>
        </w:rPr>
      </w:pPr>
      <w:r>
        <w:rPr>
          <w:rFonts w:cs="Arial"/>
          <w:b/>
        </w:rPr>
      </w:r>
    </w:p>
    <w:p>
      <w:pPr>
        <w:pStyle w:val="Normal1"/>
        <w:spacing w:lineRule="auto" w:line="360"/>
        <w:ind w:hanging="0" w:left="-283" w:right="-220"/>
        <w:jc w:val="both"/>
        <w:rPr>
          <w:rFonts w:cs="Arial"/>
          <w:b/>
          <w:sz w:val="24"/>
          <w:szCs w:val="24"/>
        </w:rPr>
      </w:pPr>
      <w:r>
        <w:rPr>
          <w:rFonts w:cs="Arial"/>
          <w:b/>
          <w:sz w:val="24"/>
          <w:szCs w:val="24"/>
        </w:rPr>
      </w:r>
    </w:p>
    <w:p>
      <w:pPr>
        <w:pStyle w:val="Normal1"/>
        <w:spacing w:lineRule="auto" w:line="360"/>
        <w:ind w:hanging="0" w:left="-283" w:right="-220"/>
        <w:jc w:val="both"/>
        <w:rPr>
          <w:rFonts w:cs="Arial"/>
          <w:b/>
          <w:sz w:val="24"/>
          <w:szCs w:val="24"/>
        </w:rPr>
      </w:pPr>
      <w:r>
        <w:rPr>
          <w:rFonts w:cs="Arial"/>
          <w:b/>
          <w:sz w:val="24"/>
          <w:szCs w:val="24"/>
        </w:rPr>
      </w:r>
    </w:p>
    <w:p>
      <w:pPr>
        <w:pStyle w:val="Normal1"/>
        <w:spacing w:lineRule="auto" w:line="360"/>
        <w:ind w:hanging="0" w:left="-283" w:right="-220"/>
        <w:jc w:val="both"/>
        <w:rPr>
          <w:rFonts w:cs="Arial"/>
          <w:b/>
          <w:sz w:val="24"/>
          <w:szCs w:val="24"/>
        </w:rPr>
      </w:pPr>
      <w:r>
        <w:rPr>
          <w:rFonts w:cs="Arial"/>
          <w:b/>
          <w:sz w:val="24"/>
          <w:szCs w:val="24"/>
        </w:rPr>
      </w:r>
    </w:p>
    <w:p>
      <w:pPr>
        <w:pStyle w:val="Normal1"/>
        <w:spacing w:lineRule="auto" w:line="360"/>
        <w:ind w:hanging="0" w:left="-283" w:right="-220"/>
        <w:jc w:val="both"/>
        <w:rPr>
          <w:rFonts w:ascii="Arial" w:hAnsi="Arial"/>
          <w:sz w:val="22"/>
          <w:szCs w:val="22"/>
        </w:rPr>
      </w:pPr>
      <w:r>
        <w:drawing>
          <wp:anchor behindDoc="0" distT="0" distB="0" distL="0" distR="0" simplePos="0" locked="0" layoutInCell="0" allowOverlap="1" relativeHeight="7">
            <wp:simplePos x="0" y="0"/>
            <wp:positionH relativeFrom="column">
              <wp:posOffset>4781550</wp:posOffset>
            </wp:positionH>
            <wp:positionV relativeFrom="paragraph">
              <wp:posOffset>-855345</wp:posOffset>
            </wp:positionV>
            <wp:extent cx="785495" cy="786130"/>
            <wp:effectExtent l="0" t="0" r="0" b="0"/>
            <wp:wrapSquare wrapText="largest"/>
            <wp:docPr id="5" name="Imagen1 Copia 2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1 Copia 2 Copia 2" descr=""/>
                    <pic:cNvPicPr>
                      <a:picLocks noChangeAspect="1" noChangeArrowheads="1"/>
                    </pic:cNvPicPr>
                  </pic:nvPicPr>
                  <pic:blipFill>
                    <a:blip r:embed="rId6"/>
                    <a:stretch>
                      <a:fillRect/>
                    </a:stretch>
                  </pic:blipFill>
                  <pic:spPr bwMode="auto">
                    <a:xfrm>
                      <a:off x="0" y="0"/>
                      <a:ext cx="785495" cy="786130"/>
                    </a:xfrm>
                    <a:prstGeom prst="rect">
                      <a:avLst/>
                    </a:prstGeom>
                  </pic:spPr>
                </pic:pic>
              </a:graphicData>
            </a:graphic>
          </wp:anchor>
        </w:drawing>
      </w:r>
      <w:r>
        <w:rPr>
          <w:rFonts w:cs="Arial" w:ascii="Arial" w:hAnsi="Arial"/>
          <w:b/>
          <w:sz w:val="22"/>
          <w:szCs w:val="22"/>
        </w:rPr>
        <w:t>1.1. Introducción a la Tanatología.</w:t>
      </w:r>
      <w:r>
        <w:rPr>
          <w:rStyle w:val="FootnoteReference"/>
          <w:rFonts w:cs="Arial" w:ascii="Arial" w:hAnsi="Arial"/>
          <w:b/>
          <w:sz w:val="22"/>
          <w:szCs w:val="22"/>
        </w:rPr>
        <w:footnoteReference w:id="2"/>
      </w:r>
    </w:p>
    <w:p>
      <w:pPr>
        <w:pStyle w:val="Normal1"/>
        <w:spacing w:lineRule="auto" w:line="360"/>
        <w:ind w:hanging="0" w:left="-283" w:right="-220"/>
        <w:jc w:val="both"/>
        <w:rPr>
          <w:sz w:val="22"/>
          <w:szCs w:val="22"/>
        </w:rPr>
      </w:pPr>
      <w:r>
        <w:rPr>
          <w:rFonts w:cs="Arial" w:ascii="Arial" w:hAnsi="Arial"/>
          <w:b w:val="false"/>
          <w:bCs w:val="false"/>
          <w:sz w:val="22"/>
          <w:szCs w:val="22"/>
        </w:rPr>
        <w:tab/>
        <w:t xml:space="preserve">Hoy en día la Tanatología </w:t>
      </w:r>
      <w:r>
        <w:rPr>
          <w:rFonts w:ascii="Arial" w:hAnsi="Arial"/>
          <w:sz w:val="22"/>
          <w:szCs w:val="22"/>
        </w:rPr>
        <w:t xml:space="preserve">es un conocimiento con pretensión científica, interdisciplinaria que estudia la muerte, la vida, y como el ser humano trasciende el morir, el duelo y las pérdidas, integrando en sus estructuras biológicas, psicológicas, sociales y espirituales; podemos hablar de que en la Tanatología hay  etapas que son: Pre-Kubleriana; Kubleriana; Post Kubleriana y Tanatología del S.XXI (Chávez, Polo, 2014). esto es así porque rescatamos los aportes de Elizabeth Kübler-Ross como la fundadora de éste saber del conocimiento donde el ser humano puede conocer su existencia; ahora podemos decir como señalaba Stanislav Grof que antes de la Revolución Industrial en el S. XVIII existía una visión de la muerte donde era mistérica y por ende las personas la honraban y le daban un trato sagrado, morir era doloroso, pero se tenia consuelo y esperanza ante el misterio; posterior al S. XVIII la muerte se vuelve científica y deja de lado su misterio para volverse un proceso de enfermedad, la ciencia proclama la meta de vencer a la muerte, desconociendo una experiencia humana trascendente. </w:t>
      </w:r>
    </w:p>
    <w:p>
      <w:pPr>
        <w:pStyle w:val="Normal1"/>
        <w:spacing w:lineRule="auto" w:line="360"/>
        <w:ind w:hanging="0" w:left="-283" w:right="-220"/>
        <w:jc w:val="both"/>
        <w:rPr>
          <w:b/>
          <w:bCs/>
          <w:sz w:val="22"/>
          <w:szCs w:val="22"/>
        </w:rPr>
      </w:pPr>
      <w:r>
        <w:rPr>
          <w:rFonts w:ascii="Arial" w:hAnsi="Arial"/>
          <w:b/>
          <w:bCs/>
          <w:sz w:val="22"/>
          <w:szCs w:val="22"/>
        </w:rPr>
        <w:t xml:space="preserve">1.2. Nociones Generales sobre Tanatología, Ciencia y Espiritualidad. </w:t>
      </w:r>
    </w:p>
    <w:p>
      <w:pPr>
        <w:pStyle w:val="Normal1"/>
        <w:spacing w:lineRule="auto" w:line="360"/>
        <w:ind w:hanging="0" w:left="-283" w:right="-220"/>
        <w:jc w:val="both"/>
        <w:rPr>
          <w:sz w:val="22"/>
          <w:szCs w:val="22"/>
        </w:rPr>
      </w:pPr>
      <w:r>
        <w:rPr>
          <w:rFonts w:ascii="Arial" w:hAnsi="Arial"/>
          <w:sz w:val="22"/>
          <w:szCs w:val="22"/>
        </w:rPr>
        <w:tab/>
        <w:t xml:space="preserve">Hasta el día de hoy la ciencia medica ha reconocido que podemos mejorar la calidad de vida pero no vencer a la muerte porque sería ir en contra de nuestra propia condición, esto entonces nos hace hablar de estas etapas para entender la Tanatología: 1. Una Tanatología Mistérica en donde la muerte y el morir era sagrado, por consecuencia venerado; 2. Una Tanatología Cientifica que buscó deshumanizar la muerte y el morir y volverlo una enfermedad que había que vencer, deshumanizandola; 3. Una Tanatología del S. XX que retoma el estudio del cadáver (Elias Metchnikoff); 4. Una Tanatología que retoma la esencia humana para acompañar la muerte; (Kübler-Ross); 5. Una Tanatología que retoma los avances de expansión y conecta con la línea Transpersonal (Carrillo, 2015); 5. Una Tanatología que suma los aportes científicos y humanos del conocimiento para conectar con las estructuras superiores del ser humano y despertar el potencial sanador denominada Tanatología Transpersonal (López Galicia, 2024).   </w:t>
      </w:r>
    </w:p>
    <w:p>
      <w:pPr>
        <w:pStyle w:val="Normal1"/>
        <w:spacing w:lineRule="auto" w:line="360"/>
        <w:ind w:hanging="0" w:left="-283" w:right="-220"/>
        <w:jc w:val="both"/>
        <w:rPr>
          <w:rFonts w:ascii="Arial" w:hAnsi="Arial"/>
          <w:sz w:val="24"/>
          <w:szCs w:val="24"/>
        </w:rPr>
      </w:pPr>
      <w:r>
        <w:rPr>
          <w:rFonts w:ascii="Arial" w:hAnsi="Arial"/>
          <w:sz w:val="24"/>
          <w:szCs w:val="24"/>
        </w:rPr>
      </w:r>
    </w:p>
    <w:p>
      <w:pPr>
        <w:pStyle w:val="Normal1"/>
        <w:spacing w:lineRule="auto" w:line="360"/>
        <w:ind w:hanging="0" w:left="-283" w:right="-220"/>
        <w:jc w:val="both"/>
        <w:rPr>
          <w:rFonts w:ascii="Arial" w:hAnsi="Arial"/>
          <w:sz w:val="24"/>
          <w:szCs w:val="24"/>
        </w:rPr>
      </w:pPr>
      <w:r>
        <w:rPr>
          <w:rFonts w:ascii="Arial" w:hAnsi="Arial"/>
          <w:sz w:val="24"/>
          <w:szCs w:val="24"/>
        </w:rPr>
      </w:r>
    </w:p>
    <w:p>
      <w:pPr>
        <w:pStyle w:val="Normal1"/>
        <w:spacing w:lineRule="auto" w:line="360"/>
        <w:ind w:hanging="0" w:left="-283" w:right="-220"/>
        <w:jc w:val="both"/>
        <w:rPr>
          <w:rFonts w:ascii="Arial" w:hAnsi="Arial"/>
          <w:sz w:val="24"/>
          <w:szCs w:val="24"/>
        </w:rPr>
      </w:pPr>
      <w:r>
        <w:rPr>
          <w:rFonts w:ascii="Arial" w:hAnsi="Arial"/>
          <w:sz w:val="24"/>
          <w:szCs w:val="24"/>
        </w:rPr>
      </w:r>
    </w:p>
    <w:p>
      <w:pPr>
        <w:pStyle w:val="Normal1"/>
        <w:spacing w:lineRule="auto" w:line="360"/>
        <w:ind w:hanging="0" w:left="-283" w:right="-220"/>
        <w:jc w:val="both"/>
        <w:rPr>
          <w:rFonts w:ascii="Arial" w:hAnsi="Arial"/>
          <w:sz w:val="24"/>
          <w:szCs w:val="24"/>
        </w:rPr>
      </w:pPr>
      <w:r>
        <w:rPr>
          <w:rFonts w:ascii="Arial" w:hAnsi="Arial"/>
          <w:sz w:val="24"/>
          <w:szCs w:val="24"/>
        </w:rPr>
        <w:drawing>
          <wp:anchor behindDoc="0" distT="0" distB="0" distL="0" distR="0" simplePos="0" locked="0" layoutInCell="0" allowOverlap="1" relativeHeight="8">
            <wp:simplePos x="0" y="0"/>
            <wp:positionH relativeFrom="column">
              <wp:posOffset>4781550</wp:posOffset>
            </wp:positionH>
            <wp:positionV relativeFrom="paragraph">
              <wp:posOffset>-765810</wp:posOffset>
            </wp:positionV>
            <wp:extent cx="785495" cy="786130"/>
            <wp:effectExtent l="0" t="0" r="0" b="0"/>
            <wp:wrapSquare wrapText="largest"/>
            <wp:docPr id="6" name="Imagen1 Copia 2 Copia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1 Copia 2 Copia 3" descr=""/>
                    <pic:cNvPicPr>
                      <a:picLocks noChangeAspect="1" noChangeArrowheads="1"/>
                    </pic:cNvPicPr>
                  </pic:nvPicPr>
                  <pic:blipFill>
                    <a:blip r:embed="rId7"/>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sz w:val="22"/>
          <w:szCs w:val="22"/>
        </w:rPr>
      </w:pPr>
      <w:r>
        <w:rPr>
          <w:rFonts w:ascii="Arial" w:hAnsi="Arial"/>
          <w:sz w:val="22"/>
          <w:szCs w:val="22"/>
        </w:rPr>
        <w:t xml:space="preserve">En ese aspecto podemos entender inicialmente a la Tanatología como “El conocimiento científico de la muerte, y la vida que integra a la persona como un ser biológico, social y espiritual.” (INCAN); Retomando a Kübler-Ross definimos Taantología como “Disciplina que busca dar sentido al proceso de la muerte y disminuir el sufrimiento.” Con base en el Yoghismo Tanatológico en el 2016 definí Tanatología como la “ciencia que estudia el proceso de consciencia del ser humano del ciclo  vida-muerte como vivencia de liberación implicando la simultaneidad de significados en la trascendencia”, (López Galicia, 2018), Desde una perspectiva humanista es una experiencia existencial humana en mi relación vida-muerte de inmortalidad y trascendencia en mi condición humana. (López Galicia, 2020). En el 2020 en los estudios de espiritualidad de las tradiciones orientales descubrí que en el Yoghismo y el Budismo existían fundamentos de Tanatología, por ello planté una línea de estudios de Tanatología de las Tradiciones Orientales y la defini como la </w:t>
      </w:r>
      <w:r>
        <w:rPr>
          <w:sz w:val="22"/>
          <w:szCs w:val="22"/>
        </w:rPr>
        <w:t xml:space="preserve">Tanatología </w:t>
      </w:r>
      <w:r>
        <w:rPr>
          <w:rFonts w:ascii="Arial" w:hAnsi="Arial"/>
          <w:sz w:val="22"/>
          <w:szCs w:val="22"/>
        </w:rPr>
        <w:t xml:space="preserve">Indo-Aria: que es “el conjunto de prácticas que nos vienen de la tradición del conocimiento del ser humano basado en vías espirituales orientales Índo-Asia, (Hinduismo-Yoga-Budismo-Taoismo) en donde la muerte es un fenómeno  de liberación implicando la simultaneidad de significados en la experiencia profunda del sí mismo”, (López Galicia, 2016), definí también un método de estudios como  “Tanatología Espiritual Humanista”. (López Galicia 2018). que busca su proceso sanador haciendo énfasis de abordaje clínico  en la estructura espiritual. </w:t>
      </w:r>
    </w:p>
    <w:p>
      <w:pPr>
        <w:pStyle w:val="Normal1"/>
        <w:spacing w:lineRule="auto" w:line="360"/>
        <w:ind w:hanging="0" w:left="-283" w:right="-220"/>
        <w:jc w:val="both"/>
        <w:rPr>
          <w:rFonts w:ascii="Arial" w:hAnsi="Arial"/>
          <w:sz w:val="22"/>
          <w:szCs w:val="22"/>
        </w:rPr>
      </w:pPr>
      <w:r>
        <w:rPr>
          <w:rFonts w:ascii="Arial" w:hAnsi="Arial"/>
          <w:sz w:val="22"/>
          <w:szCs w:val="22"/>
        </w:rPr>
        <w:t xml:space="preserve">Hoy podemos decir que la Tanatología Teándrica es un campo del saber tanatológico contemporáneo que integra la dimensión humana (bio-psico-social), la dimensión espiritual y la dimensión divina en un enfoque clínico de acompañamiento, orientado a la transformación del sufrimiento en conciencia, sentido y trascendencia. Se fundamenta en: Psicología transpersonal, Espiritualidad aplicada, Clínica del duelo, Conciencia expandida. Aporta una visión no reduccionista del ser humano, incorporando: Cuerpo (biológico), Mente (psicológico), Relación (social), Espíritu (trascendente) y la Conciencia Teándrica (unidad humano-divino). </w:t>
      </w:r>
    </w:p>
    <w:p>
      <w:pPr>
        <w:pStyle w:val="Normal1"/>
        <w:spacing w:lineRule="auto" w:line="360"/>
        <w:ind w:hanging="0" w:left="-283" w:right="-220"/>
        <w:jc w:val="both"/>
        <w:rPr>
          <w:sz w:val="22"/>
          <w:szCs w:val="22"/>
        </w:rPr>
      </w:pPr>
      <w:r>
        <w:rPr>
          <w:rFonts w:ascii="Arial" w:hAnsi="Arial"/>
          <w:sz w:val="22"/>
          <w:szCs w:val="22"/>
        </w:rPr>
        <w:t xml:space="preserve">La Tanatología del S. XXI tiene una visión científica ya que al vivir en esta época cuántica digital, las personas requerimos nuevas herramientas emocionales de pensamiento que se apliquen a estas dimensiones sutiles de la realidad (Cuántica, Consciencia, Digitalidad), por ello es importante conocer que es la ciencia, para que podamos tener una apertura de conciencia para entrar en la Consciencia Teándrica, en ese aspecto podemos definir ciencia </w:t>
      </w:r>
    </w:p>
    <w:p>
      <w:pPr>
        <w:pStyle w:val="Normal1"/>
        <w:spacing w:lineRule="auto" w:line="360"/>
        <w:ind w:hanging="0" w:left="-283" w:right="-220"/>
        <w:jc w:val="both"/>
        <w:rPr>
          <w:rFonts w:ascii="Arial" w:hAnsi="Arial"/>
        </w:rPr>
      </w:pPr>
      <w:r>
        <w:rPr>
          <w:rFonts w:ascii="Arial" w:hAnsi="Arial"/>
        </w:rPr>
      </w:r>
    </w:p>
    <w:p>
      <w:pPr>
        <w:pStyle w:val="Normal1"/>
        <w:spacing w:lineRule="auto" w:line="360"/>
        <w:ind w:hanging="0" w:left="-283" w:right="-220"/>
        <w:jc w:val="both"/>
        <w:rPr>
          <w:rFonts w:ascii="Arial" w:hAnsi="Arial"/>
        </w:rPr>
      </w:pPr>
      <w:r>
        <w:rPr>
          <w:rFonts w:ascii="Arial" w:hAnsi="Arial"/>
        </w:rPr>
        <w:drawing>
          <wp:anchor behindDoc="0" distT="0" distB="0" distL="0" distR="0" simplePos="0" locked="0" layoutInCell="0" allowOverlap="1" relativeHeight="9">
            <wp:simplePos x="0" y="0"/>
            <wp:positionH relativeFrom="column">
              <wp:posOffset>4853305</wp:posOffset>
            </wp:positionH>
            <wp:positionV relativeFrom="paragraph">
              <wp:posOffset>-784225</wp:posOffset>
            </wp:positionV>
            <wp:extent cx="785495" cy="786130"/>
            <wp:effectExtent l="0" t="0" r="0" b="0"/>
            <wp:wrapSquare wrapText="largest"/>
            <wp:docPr id="7" name="Imagen1 Copia 2 Copia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1 Copia 2 Copia 4" descr=""/>
                    <pic:cNvPicPr>
                      <a:picLocks noChangeAspect="1" noChangeArrowheads="1"/>
                    </pic:cNvPicPr>
                  </pic:nvPicPr>
                  <pic:blipFill>
                    <a:blip r:embed="rId8"/>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sz w:val="22"/>
          <w:szCs w:val="22"/>
        </w:rPr>
      </w:pPr>
      <w:r>
        <w:rPr>
          <w:rFonts w:ascii="Arial" w:hAnsi="Arial"/>
          <w:sz w:val="22"/>
          <w:szCs w:val="22"/>
        </w:rPr>
        <w:t>como un sistema de conocimiento basado en la observación, la evidencia, la verificación y la explicación racional de fenómenos.” (López Galicia, 2024), aunque la ciencia clásica se define como “El conocimiento sistemático obtenido mediante observación y experimentación.”</w:t>
      </w:r>
      <w:r>
        <w:rPr>
          <w:rStyle w:val="FootnoteReference"/>
          <w:rFonts w:ascii="Arial" w:hAnsi="Arial"/>
          <w:sz w:val="22"/>
          <w:szCs w:val="22"/>
        </w:rPr>
        <w:footnoteReference w:id="3"/>
      </w:r>
    </w:p>
    <w:p>
      <w:pPr>
        <w:pStyle w:val="Normal1"/>
        <w:spacing w:lineRule="auto" w:line="360"/>
        <w:ind w:hanging="0" w:left="-283" w:right="-220"/>
        <w:jc w:val="both"/>
        <w:rPr>
          <w:sz w:val="22"/>
          <w:szCs w:val="22"/>
        </w:rPr>
      </w:pPr>
      <w:r>
        <w:rPr>
          <w:rFonts w:ascii="Arial" w:hAnsi="Arial"/>
          <w:sz w:val="22"/>
          <w:szCs w:val="22"/>
        </w:rPr>
        <w:t>La espiritualidad es la dimensión humana relacionada con el sentido, propósito, trascendencia y conexión con algo mayor.  Según la literatura académica: “La espiritualidad permite afrontar el sufrimiento y encontrar significado en la vida.” en esta perspectiva de la espiritualidad  la conciencia no se reduce al cerebro, hay interconexión mente-cuerpo-energía y nos conecta con un campo de información (conciencia expandida), intengrando la espiritualidad a la tanatología se descubre una disciplina terapéutica que integra la energía vital, la conciencia corporal, la espiritualidad y la experiencia de la preparación para la  muerte real y simbólica para facilitar procesos de transformación profunda del duelo, el trauma y el sufrimiento y mejorar nuestra calidad de vida y nuestra salud.  Se basa en: Integración cuerpo-energía-conciencia, uso del duelo como vía de expansión y transmutación en energía vital.</w:t>
      </w:r>
    </w:p>
    <w:p>
      <w:pPr>
        <w:pStyle w:val="Normal1"/>
        <w:spacing w:lineRule="auto" w:line="360"/>
        <w:ind w:hanging="0" w:left="-283" w:right="-220"/>
        <w:jc w:val="both"/>
        <w:rPr>
          <w:sz w:val="22"/>
          <w:szCs w:val="22"/>
        </w:rPr>
      </w:pPr>
      <w:r>
        <w:rPr>
          <w:rFonts w:cs="Arial" w:ascii="Arial" w:hAnsi="Arial"/>
          <w:b/>
          <w:bCs/>
          <w:sz w:val="22"/>
          <w:szCs w:val="22"/>
        </w:rPr>
        <w:t>1.3.  El ser humano y sus estructuras bio-psico-social, espiritual y las estructuras superiores.</w:t>
      </w:r>
    </w:p>
    <w:p>
      <w:pPr>
        <w:pStyle w:val="Normal1"/>
        <w:spacing w:lineRule="auto" w:line="360"/>
        <w:ind w:hanging="0" w:left="-283" w:right="-220"/>
        <w:jc w:val="both"/>
        <w:rPr>
          <w:sz w:val="22"/>
          <w:szCs w:val="22"/>
        </w:rPr>
      </w:pPr>
      <w:r>
        <w:rPr>
          <w:rFonts w:cs="Arial" w:ascii="Arial" w:hAnsi="Arial"/>
          <w:bCs/>
          <w:sz w:val="22"/>
          <w:szCs w:val="22"/>
        </w:rPr>
        <w:tab/>
        <w:t xml:space="preserve">El ser humano es un ente bio-psico-social y espiritual, que siempre vive u vida a partir de las etapas vitales del desarrollo, dentro de esa etapa tenemos aspectos </w:t>
      </w:r>
      <w:r>
        <w:rPr>
          <w:rFonts w:cs="Arial" w:ascii="Arial" w:hAnsi="Arial"/>
          <w:sz w:val="22"/>
          <w:szCs w:val="22"/>
        </w:rPr>
        <w:t xml:space="preserve">espirituales trascendentes que se descubren en el proceso vida-muerte, el desarrollo humano transpersonal sería el proceso vital sano que todo individuo transita en su vida,  según Ken Wilber y su espiritualidad integral, la propia experiencia personal de la espiritualidad vivida desde los referentes del yoghimo tanatológico y la propia experiencia de desarrollo humano. </w:t>
      </w:r>
      <w:r>
        <w:rPr>
          <w:rFonts w:cs="Arial" w:ascii="Arial" w:hAnsi="Arial"/>
          <w:i w:val="false"/>
          <w:iCs w:val="false"/>
          <w:sz w:val="22"/>
          <w:szCs w:val="22"/>
        </w:rPr>
        <w:t xml:space="preserve">El proceso vida muerte debe de ser potencializador de la salud humana, siendo ello la máxima experiencia espiritual, una experiencia interna del sujeto que posibilita la libertad c on compromiso y su descubrimiento del sentido. Las experiencias del desarrollo humano del proceso vida-muerte según Pintos Vilariño y Suttich, sobre traspersonalidad, “serían las experiencias en el que sentido de identidad o del self se extiende más allá del individuo o de lo personal, para abarcar aspectos más amplios de la humanidad, de la vida, de la psique o del cosmos”. Suttich (1969), </w:t>
      </w:r>
    </w:p>
    <w:p>
      <w:pPr>
        <w:pStyle w:val="Normal1"/>
        <w:spacing w:lineRule="auto" w:line="360"/>
        <w:ind w:hanging="0" w:left="-283" w:right="-220"/>
        <w:jc w:val="both"/>
        <w:rPr>
          <w:sz w:val="22"/>
          <w:szCs w:val="22"/>
        </w:rPr>
      </w:pPr>
      <w:r>
        <w:rPr>
          <w:sz w:val="22"/>
          <w:szCs w:val="22"/>
        </w:rPr>
      </w:r>
    </w:p>
    <w:p>
      <w:pPr>
        <w:pStyle w:val="Normal1"/>
        <w:spacing w:lineRule="auto" w:line="360"/>
        <w:ind w:hanging="0" w:left="-283" w:right="-220"/>
        <w:jc w:val="both"/>
        <w:rPr>
          <w:sz w:val="22"/>
          <w:szCs w:val="22"/>
        </w:rPr>
      </w:pPr>
      <w:r>
        <w:rPr>
          <w:sz w:val="22"/>
          <w:szCs w:val="22"/>
        </w:rPr>
        <w:drawing>
          <wp:anchor behindDoc="0" distT="0" distB="0" distL="0" distR="0" simplePos="0" locked="0" layoutInCell="0" allowOverlap="1" relativeHeight="10">
            <wp:simplePos x="0" y="0"/>
            <wp:positionH relativeFrom="column">
              <wp:posOffset>4813300</wp:posOffset>
            </wp:positionH>
            <wp:positionV relativeFrom="paragraph">
              <wp:posOffset>-596900</wp:posOffset>
            </wp:positionV>
            <wp:extent cx="785495" cy="786130"/>
            <wp:effectExtent l="0" t="0" r="0" b="0"/>
            <wp:wrapSquare wrapText="largest"/>
            <wp:docPr id="8" name="Imagen1 Copia 2 Copia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1 Copia 2 Copia 5" descr=""/>
                    <pic:cNvPicPr>
                      <a:picLocks noChangeAspect="1" noChangeArrowheads="1"/>
                    </pic:cNvPicPr>
                  </pic:nvPicPr>
                  <pic:blipFill>
                    <a:blip r:embed="rId9"/>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sz w:val="22"/>
          <w:szCs w:val="22"/>
        </w:rPr>
      </w:pPr>
      <w:r>
        <w:rPr>
          <w:rFonts w:cs="Arial" w:ascii="Arial" w:hAnsi="Arial"/>
          <w:i w:val="false"/>
          <w:iCs w:val="false"/>
          <w:sz w:val="22"/>
          <w:szCs w:val="22"/>
        </w:rPr>
        <w:t xml:space="preserve">habla de los estados esenciales del ser y del experimentar, Grof (1988), habla igualmente de la sensación del sujeto de que “su conciencia se ha expandido más allá de los límites habituales del ego y ha superado las restricciones del tiempo y el espacio”.  </w:t>
      </w:r>
    </w:p>
    <w:p>
      <w:pPr>
        <w:pStyle w:val="Normal1"/>
        <w:spacing w:lineRule="auto" w:line="360"/>
        <w:ind w:hanging="0" w:left="-283" w:right="-220"/>
        <w:jc w:val="both"/>
        <w:rPr>
          <w:i w:val="false"/>
          <w:i w:val="false"/>
          <w:iCs w:val="false"/>
          <w:sz w:val="22"/>
          <w:szCs w:val="22"/>
        </w:rPr>
      </w:pPr>
      <w:r>
        <w:rPr>
          <w:rFonts w:cs="Arial" w:ascii="Arial" w:hAnsi="Arial"/>
          <w:i w:val="false"/>
          <w:iCs w:val="false"/>
          <w:sz w:val="22"/>
          <w:szCs w:val="22"/>
        </w:rPr>
        <w:t xml:space="preserve">Hay situaciones que alteran ese natural equilibro bio-psico-social y espiritual como las afectaciones de la vida, que se presentan en la enfermedad, en la vejez y en la muerte, alterando nuestro estado de salud que es la condición natural humana. Salud es definida como "un estado completo de bienestar óptimo, físico, mental y social, y no sólo la ausencia de enfermedad y debilidad.“ (OMS). Una salud positiva es sólo un espejismo, porque el ser humano en el mundo real debe enfrentarse a las fuerzas físicas, biológicas y sociales de su ambiente, que son permanentemente cambiantes, generalmente de manera impredecible, y frecuentemente con consecuencias peligrosas para él como persona y para la especie humana en general." (René Dubó, Man Adapting, p. 349). </w:t>
      </w:r>
    </w:p>
    <w:p>
      <w:pPr>
        <w:pStyle w:val="Normal1"/>
        <w:spacing w:lineRule="auto" w:line="360"/>
        <w:ind w:hanging="0" w:left="-283" w:right="-220"/>
        <w:jc w:val="both"/>
        <w:rPr>
          <w:i w:val="false"/>
          <w:i w:val="false"/>
          <w:iCs w:val="false"/>
          <w:sz w:val="22"/>
          <w:szCs w:val="22"/>
        </w:rPr>
      </w:pPr>
      <w:r>
        <w:rPr>
          <w:rFonts w:cs="Arial" w:ascii="Arial" w:hAnsi="Arial"/>
          <w:i w:val="false"/>
          <w:iCs w:val="false"/>
          <w:sz w:val="22"/>
          <w:szCs w:val="22"/>
        </w:rPr>
        <w:t>La enfermedad se define como “Un tipo de estado interno que es, sea un trastorno de la capacidad funcional normal, es decir, una disminución de una o más capacidades funcionales por debajo de la eficiencia típica o una limitación de la capacidad funcional producida por un agente ambiental, es un estado que pone a los individuos en mayor riesgo de sufrir consecuencias adversas“ (Temple y cols., página 807). La enfermedad es una condición patológica del cuerpo que presenta un grupo de signos y síntomas y hallazgos de laboratorio peculiares y que identifica la condición como una entidad anormal que difiere de otros estados del cuerpo normales o patológicos.</w:t>
      </w:r>
    </w:p>
    <w:p>
      <w:pPr>
        <w:pStyle w:val="Normal1"/>
        <w:spacing w:lineRule="auto" w:line="360"/>
        <w:ind w:hanging="0" w:left="-283" w:right="-220"/>
        <w:jc w:val="both"/>
        <w:rPr>
          <w:i w:val="false"/>
          <w:i w:val="false"/>
          <w:iCs w:val="false"/>
          <w:sz w:val="22"/>
          <w:szCs w:val="22"/>
        </w:rPr>
      </w:pPr>
      <w:r>
        <w:rPr>
          <w:rFonts w:cs="Arial" w:ascii="Arial" w:hAnsi="Arial"/>
          <w:i w:val="false"/>
          <w:iCs w:val="false"/>
          <w:sz w:val="22"/>
          <w:szCs w:val="22"/>
        </w:rPr>
        <w:t xml:space="preserve">Los aportes espirituales de la Tanatología se observan en estudios como el de Kiarash Irandoust (2013, p. 35), en su estudio de realidades de la muerte en el camino mixto de la vida, </w:t>
      </w:r>
      <w:r>
        <w:rPr>
          <w:rFonts w:cs="Arial" w:ascii="Arial" w:hAnsi="Arial"/>
          <w:b w:val="false"/>
          <w:bCs w:val="false"/>
          <w:i w:val="false"/>
          <w:iCs w:val="false"/>
          <w:sz w:val="22"/>
          <w:szCs w:val="22"/>
        </w:rPr>
        <w:t>definió a la tanatología como una descripción y estudio de la muerte y el morir, y los mecanismos psicológicos para tratar con ellos, además de considerar en su definición aspectos biomédicos y las dimensiones sociales de la muerte, el morir y el duelo.</w:t>
      </w:r>
      <w:r>
        <w:rPr>
          <w:rFonts w:cs="Arial" w:ascii="Arial" w:hAnsi="Arial"/>
          <w:i w:val="false"/>
          <w:iCs w:val="false"/>
          <w:sz w:val="22"/>
          <w:szCs w:val="22"/>
        </w:rPr>
        <w:t xml:space="preserve"> </w:t>
      </w:r>
    </w:p>
    <w:p>
      <w:pPr>
        <w:pStyle w:val="Normal1"/>
        <w:spacing w:lineRule="auto" w:line="360"/>
        <w:ind w:hanging="0" w:left="-283" w:right="-220"/>
        <w:jc w:val="both"/>
        <w:rPr>
          <w:rFonts w:ascii="Arial" w:hAnsi="Arial" w:cs="Arial"/>
          <w:b w:val="false"/>
          <w:bCs w:val="false"/>
          <w:i w:val="false"/>
          <w:i w:val="false"/>
          <w:iCs w:val="false"/>
          <w:sz w:val="22"/>
          <w:szCs w:val="22"/>
        </w:rPr>
      </w:pPr>
      <w:r>
        <w:rPr>
          <w:rFonts w:cs="Arial" w:ascii="Arial" w:hAnsi="Arial"/>
          <w:b w:val="false"/>
          <w:bCs w:val="false"/>
          <w:i w:val="false"/>
          <w:iCs w:val="false"/>
          <w:sz w:val="22"/>
          <w:szCs w:val="22"/>
        </w:rPr>
        <w:t xml:space="preserve">Desde una visión oriental, espiritual, Indo-Aria y humanista, la definición de Tanatología mi definición de Tanatología , es “la ciencia que  estudia la muerte como experiencia de liberación implicando la simultaneidad de significados en la vivencia meditativa profunda del sí mismo para trascender”. (López Galicia 2022), estas experiencias de desarrollo humano adquieren otra dimensión cuando se nutren de espiritualidad, como dice Ospina Correa (2009, p. 5), </w:t>
      </w:r>
    </w:p>
    <w:p>
      <w:pPr>
        <w:pStyle w:val="Normal1"/>
        <w:spacing w:lineRule="auto" w:line="360"/>
        <w:ind w:hanging="0" w:left="-283" w:right="-220"/>
        <w:jc w:val="both"/>
        <w:rPr>
          <w:rFonts w:ascii="Arial" w:hAnsi="Arial" w:cs="Arial"/>
          <w:b w:val="false"/>
          <w:bCs w:val="false"/>
          <w:i w:val="false"/>
          <w:i w:val="false"/>
          <w:iCs w:val="false"/>
          <w:sz w:val="22"/>
          <w:szCs w:val="22"/>
        </w:rPr>
      </w:pPr>
      <w:r>
        <w:rPr>
          <w:rFonts w:cs="Arial" w:ascii="Arial" w:hAnsi="Arial"/>
          <w:b w:val="false"/>
          <w:bCs w:val="false"/>
          <w:i w:val="false"/>
          <w:iCs w:val="false"/>
          <w:sz w:val="22"/>
          <w:szCs w:val="22"/>
        </w:rPr>
      </w:r>
    </w:p>
    <w:p>
      <w:pPr>
        <w:pStyle w:val="Normal1"/>
        <w:spacing w:lineRule="auto" w:line="360"/>
        <w:ind w:hanging="0" w:left="-283" w:right="-220"/>
        <w:jc w:val="both"/>
        <w:rPr>
          <w:rFonts w:ascii="Arial" w:hAnsi="Arial" w:cs="Arial"/>
          <w:b w:val="false"/>
          <w:bCs w:val="false"/>
          <w:i w:val="false"/>
          <w:i w:val="false"/>
          <w:iCs w:val="false"/>
          <w:sz w:val="22"/>
          <w:szCs w:val="22"/>
        </w:rPr>
      </w:pPr>
      <w:r>
        <w:rPr>
          <w:rFonts w:cs="Arial" w:ascii="Arial" w:hAnsi="Arial"/>
          <w:b w:val="false"/>
          <w:bCs w:val="false"/>
          <w:i w:val="false"/>
          <w:iCs w:val="false"/>
          <w:sz w:val="22"/>
          <w:szCs w:val="22"/>
        </w:rPr>
        <w:drawing>
          <wp:anchor behindDoc="0" distT="0" distB="0" distL="0" distR="0" simplePos="0" locked="0" layoutInCell="0" allowOverlap="1" relativeHeight="11">
            <wp:simplePos x="0" y="0"/>
            <wp:positionH relativeFrom="column">
              <wp:posOffset>4908550</wp:posOffset>
            </wp:positionH>
            <wp:positionV relativeFrom="paragraph">
              <wp:posOffset>-742315</wp:posOffset>
            </wp:positionV>
            <wp:extent cx="785495" cy="786130"/>
            <wp:effectExtent l="0" t="0" r="0" b="0"/>
            <wp:wrapSquare wrapText="largest"/>
            <wp:docPr id="9" name="Imagen1 Copia 2 Copia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1 Copia 2 Copia 6" descr=""/>
                    <pic:cNvPicPr>
                      <a:picLocks noChangeAspect="1" noChangeArrowheads="1"/>
                    </pic:cNvPicPr>
                  </pic:nvPicPr>
                  <pic:blipFill>
                    <a:blip r:embed="rId10"/>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rFonts w:ascii="Arial" w:hAnsi="Arial" w:cs="Arial"/>
          <w:b w:val="false"/>
          <w:bCs w:val="false"/>
          <w:i w:val="false"/>
          <w:i w:val="false"/>
          <w:iCs w:val="false"/>
          <w:sz w:val="22"/>
          <w:szCs w:val="22"/>
        </w:rPr>
      </w:pPr>
      <w:r>
        <w:rPr>
          <w:rFonts w:cs="Arial" w:ascii="Arial" w:hAnsi="Arial"/>
          <w:b w:val="false"/>
          <w:bCs w:val="false"/>
          <w:i w:val="false"/>
          <w:iCs w:val="false"/>
          <w:sz w:val="22"/>
          <w:szCs w:val="22"/>
        </w:rPr>
        <w:t>de “técnicas específicas como la meditación, la respiración holotrópica, la imaginación activa, los sueños lucidos, el yoga, los oráculos”. El puente entre la salud humana y el espíritu, es una dimensión espiritual de que en otras palabras se traduce como una búsqueda de una comprensión de la totalidad, de la vida y de la muerte, busca el reconocimiento de los estados de conciencia unitivos, espirituales y trascedentes, dando como consecuencia el equilibrio de la salud.</w:t>
      </w:r>
    </w:p>
    <w:p>
      <w:pPr>
        <w:pStyle w:val="Normal1"/>
        <w:spacing w:lineRule="auto" w:line="360"/>
        <w:ind w:hanging="0" w:left="-283" w:right="-220"/>
        <w:jc w:val="both"/>
        <w:rPr>
          <w:sz w:val="22"/>
          <w:szCs w:val="22"/>
        </w:rPr>
      </w:pPr>
      <w:r>
        <w:rPr>
          <w:rFonts w:cs="Arial" w:ascii="Arial" w:hAnsi="Arial"/>
          <w:sz w:val="22"/>
          <w:szCs w:val="22"/>
        </w:rPr>
        <w:t xml:space="preserve">La Tanatología Contemporánea o Teándrica buscaría desarrollar las experiencias meditativas profundas para sanar el duelo y la pérdidas, a partir de las experiencias de contacto con nuestras estructuras superiores, las cuales nos fueron legadas por muchos maestros, practicantes y pensadores a lo largo de la historia. La Tanatología Teándrica busca desarrollar las estructuras bio-psico-social y espiritual para generar experiencias de sanación de la pérdida y el duelo (López Galicia 2020). Las cuales serán desarrolladas a lo largo del Diplomado.  </w:t>
      </w:r>
    </w:p>
    <w:p>
      <w:pPr>
        <w:pStyle w:val="Normal1"/>
        <w:spacing w:lineRule="auto" w:line="360"/>
        <w:ind w:hanging="0" w:left="-283" w:right="-220"/>
        <w:jc w:val="both"/>
        <w:rPr>
          <w:rFonts w:ascii="Arial" w:hAnsi="Arial" w:cs="Arial"/>
          <w:sz w:val="22"/>
          <w:szCs w:val="22"/>
        </w:rPr>
      </w:pPr>
      <w:r>
        <w:rPr>
          <w:rFonts w:cs="Arial" w:ascii="Arial" w:hAnsi="Arial"/>
          <w:sz w:val="22"/>
          <w:szCs w:val="22"/>
        </w:rPr>
        <w:t xml:space="preserve">A lo largo del Diplomado iremos reflexionando sobre que es la Tanatología, Ciencia, Espiritualidad, Salud, el Desarrollo Humano, el Yoga y la Calidad de Vida para desde la metodología del Yoghismo Tanatológico, la Tanatología Espiritual Humanista, hasta llegar a la Tanatología Teándrica y  poder trascender las vivencias de dolor, enfermedad, vejez y muerte que pueden desestructurar al ser humano y alejarlo de ese aspecto fundamental que es la salud humana para su trascendencia. </w:t>
      </w:r>
    </w:p>
    <w:p>
      <w:pPr>
        <w:pStyle w:val="Normal1"/>
        <w:spacing w:lineRule="auto" w:line="360"/>
        <w:ind w:hanging="0" w:left="-283" w:right="-220"/>
        <w:jc w:val="both"/>
        <w:rPr>
          <w:rFonts w:ascii="Arial" w:hAnsi="Arial" w:cs="Arial"/>
          <w:b/>
          <w:bCs/>
        </w:rPr>
      </w:pPr>
      <w:r>
        <w:rPr>
          <w:rFonts w:cs="Arial" w:ascii="Arial" w:hAnsi="Arial"/>
          <w:b/>
          <w:bCs/>
        </w:rPr>
      </w:r>
    </w:p>
    <w:p>
      <w:pPr>
        <w:pStyle w:val="Normal1"/>
        <w:spacing w:lineRule="auto" w:line="360"/>
        <w:ind w:hanging="0" w:left="-283" w:right="-220"/>
        <w:jc w:val="both"/>
        <w:rPr>
          <w:sz w:val="22"/>
          <w:szCs w:val="22"/>
        </w:rPr>
      </w:pPr>
      <w:r>
        <w:rPr>
          <w:rFonts w:cs="Arial" w:ascii="Arial" w:hAnsi="Arial"/>
          <w:b/>
          <w:bCs/>
          <w:sz w:val="22"/>
          <w:szCs w:val="22"/>
        </w:rPr>
        <w:t>1.4. Estudio bioético, social, espiritual, religioso y jurídico de la muerte, la distanacia, la ortotanasia y eutanasia para comprender la trascendencia de la vida. </w:t>
      </w:r>
    </w:p>
    <w:p>
      <w:pPr>
        <w:pStyle w:val="Normal1"/>
        <w:spacing w:lineRule="auto" w:line="360"/>
        <w:ind w:hanging="0" w:left="-283" w:right="-220"/>
        <w:jc w:val="both"/>
        <w:rPr>
          <w:sz w:val="22"/>
          <w:szCs w:val="22"/>
        </w:rPr>
      </w:pPr>
      <w:r>
        <w:rPr>
          <w:rFonts w:cs="Arial" w:ascii="Arial" w:hAnsi="Arial"/>
          <w:sz w:val="22"/>
          <w:szCs w:val="22"/>
        </w:rPr>
        <w:tab/>
        <w:t xml:space="preserve">Es importante para comprender las implicaciones de la muerte en la salud de las personas que tengamos un marco teórico médico-clínico de conceptos que utilizamos cuando hacemos intervención clínica en la salud y que nos ayudan a tener una practica regulada, es decir que para realizar una práctica profesional en el acompañamiento tanatológico con nuestra base teándrica requerimos saber que es la Voluntad Anticipada; que es la Eutanasia,  que es el Suicido Asistido y sus implicaciones con la salud, la vida, la muerte y la trascendencia. </w:t>
      </w:r>
    </w:p>
    <w:p>
      <w:pPr>
        <w:pStyle w:val="Normal1"/>
        <w:spacing w:lineRule="auto" w:line="360"/>
        <w:ind w:hanging="0" w:left="-283" w:right="-220"/>
        <w:jc w:val="both"/>
        <w:rPr>
          <w:rFonts w:ascii="Arial" w:hAnsi="Arial" w:cs="Arial"/>
        </w:rPr>
      </w:pPr>
      <w:r>
        <w:rPr>
          <w:rFonts w:cs="Arial" w:ascii="Arial" w:hAnsi="Arial"/>
        </w:rPr>
      </w:r>
    </w:p>
    <w:p>
      <w:pPr>
        <w:pStyle w:val="Normal1"/>
        <w:spacing w:lineRule="auto" w:line="360"/>
        <w:ind w:hanging="0" w:left="-283" w:right="-220"/>
        <w:jc w:val="both"/>
        <w:rPr>
          <w:rFonts w:ascii="Arial" w:hAnsi="Arial" w:cs="Arial"/>
        </w:rPr>
      </w:pPr>
      <w:r>
        <w:rPr>
          <w:rFonts w:cs="Arial" w:ascii="Arial" w:hAnsi="Arial"/>
        </w:rPr>
      </w:r>
    </w:p>
    <w:p>
      <w:pPr>
        <w:pStyle w:val="Normal1"/>
        <w:spacing w:lineRule="auto" w:line="360"/>
        <w:ind w:hanging="0" w:left="-283" w:right="-220"/>
        <w:jc w:val="both"/>
        <w:rPr>
          <w:rFonts w:ascii="Arial" w:hAnsi="Arial" w:cs="Arial"/>
          <w:sz w:val="24"/>
          <w:szCs w:val="24"/>
        </w:rPr>
      </w:pPr>
      <w:r>
        <w:rPr>
          <w:rFonts w:cs="Arial" w:ascii="Arial" w:hAnsi="Arial"/>
          <w:sz w:val="24"/>
          <w:szCs w:val="24"/>
        </w:rPr>
        <w:drawing>
          <wp:anchor behindDoc="0" distT="0" distB="0" distL="0" distR="0" simplePos="0" locked="0" layoutInCell="0" allowOverlap="1" relativeHeight="12">
            <wp:simplePos x="0" y="0"/>
            <wp:positionH relativeFrom="column">
              <wp:posOffset>4852670</wp:posOffset>
            </wp:positionH>
            <wp:positionV relativeFrom="paragraph">
              <wp:posOffset>-645160</wp:posOffset>
            </wp:positionV>
            <wp:extent cx="785495" cy="786130"/>
            <wp:effectExtent l="0" t="0" r="0" b="0"/>
            <wp:wrapSquare wrapText="largest"/>
            <wp:docPr id="10" name="Imagen1 Copia 2 Copia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1 Copia 2 Copia 7" descr=""/>
                    <pic:cNvPicPr>
                      <a:picLocks noChangeAspect="1" noChangeArrowheads="1"/>
                    </pic:cNvPicPr>
                  </pic:nvPicPr>
                  <pic:blipFill>
                    <a:blip r:embed="rId11"/>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sz w:val="22"/>
          <w:szCs w:val="22"/>
        </w:rPr>
      </w:pPr>
      <w:r>
        <w:rPr>
          <w:rFonts w:cs="Arial" w:ascii="Arial" w:hAnsi="Arial"/>
          <w:sz w:val="22"/>
          <w:szCs w:val="22"/>
        </w:rPr>
        <w:t>Voluntad anticipada: Documento legal a través del cual una persona expresa el conjunto de preferencias que tiene respecto del cuidado futuro de su salud, de su cuerpo y de su vida. Esta se realiza cuando se tiene pleno uso de facultades mentales, en anticipación a la posibilidad de que en algún momento futuro se encuentre incapacitada para expresar esas preferencias y tomar decisiones por sí misma.</w:t>
      </w:r>
    </w:p>
    <w:p>
      <w:pPr>
        <w:pStyle w:val="Normal1"/>
        <w:spacing w:lineRule="auto" w:line="360"/>
        <w:ind w:hanging="0" w:left="-283" w:right="-220"/>
        <w:jc w:val="both"/>
        <w:rPr>
          <w:sz w:val="22"/>
          <w:szCs w:val="22"/>
        </w:rPr>
      </w:pPr>
      <w:r>
        <w:rPr>
          <w:rFonts w:cs="Arial" w:ascii="Arial" w:hAnsi="Arial"/>
          <w:sz w:val="22"/>
          <w:szCs w:val="22"/>
        </w:rPr>
        <w:t>Eutanasia activa: Definida como el acto médico de terminar intencionalmente con la vida de un paciente en situación terminal, bajo la voluntad del mismo paciente, debido a que el sufrimiento se hace insostenible.</w:t>
      </w:r>
    </w:p>
    <w:p>
      <w:pPr>
        <w:pStyle w:val="Normal1"/>
        <w:spacing w:lineRule="auto" w:line="360"/>
        <w:ind w:hanging="0" w:left="-283" w:right="-220"/>
        <w:jc w:val="both"/>
        <w:rPr>
          <w:sz w:val="22"/>
          <w:szCs w:val="22"/>
        </w:rPr>
      </w:pPr>
      <w:r>
        <w:rPr>
          <w:rFonts w:cs="Arial" w:ascii="Arial" w:hAnsi="Arial"/>
          <w:sz w:val="22"/>
          <w:szCs w:val="22"/>
        </w:rPr>
        <w:t>Eutanasia pasiva: Es aquella en la que se suspenden los tratamientos que mantienen con vida a un paciente. En este proceso se evita intervenir en el proceso de la muerte por parte del personal sanitario, por lo que la muerte ocurre de manera natural como consecuencia de no aplicar tratamientos médicos curativos.</w:t>
      </w:r>
    </w:p>
    <w:p>
      <w:pPr>
        <w:pStyle w:val="Normal1"/>
        <w:spacing w:lineRule="auto" w:line="360"/>
        <w:ind w:hanging="0" w:left="-283" w:right="-220"/>
        <w:jc w:val="both"/>
        <w:rPr>
          <w:sz w:val="22"/>
          <w:szCs w:val="22"/>
        </w:rPr>
      </w:pPr>
      <w:r>
        <w:rPr>
          <w:rFonts w:cs="Arial" w:ascii="Arial" w:hAnsi="Arial"/>
          <w:sz w:val="22"/>
          <w:szCs w:val="22"/>
        </w:rPr>
        <w:t>Suicidio medicamente asistido: Es la asistencia que otorga el personal médico a un paciente, en respuesta a su solicitud, proporcionándole los medios para suicidarse. y es el paciente quien realiza la acción que causa la muerte.</w:t>
      </w:r>
    </w:p>
    <w:p>
      <w:pPr>
        <w:pStyle w:val="Normal1"/>
        <w:spacing w:lineRule="auto" w:line="360"/>
        <w:ind w:hanging="0" w:left="-283" w:right="-220"/>
        <w:jc w:val="both"/>
        <w:rPr>
          <w:sz w:val="22"/>
          <w:szCs w:val="22"/>
        </w:rPr>
      </w:pPr>
      <w:r>
        <w:rPr>
          <w:rFonts w:cs="Arial" w:ascii="Arial" w:hAnsi="Arial"/>
          <w:sz w:val="22"/>
          <w:szCs w:val="22"/>
        </w:rPr>
        <w:t xml:space="preserve">Estos conceptos tienen una regulación bioética, tanatoética, jurídica, social y espiritual, el bien Morir y la tanatología, aspira a promover la óptima calidad de vida y a facilitar la posibilidad de sanación del paciente-doliente, entendida como el cambio que permite la experiencia de recuperar su integridad y plenitud como persona en el final de la vida. </w:t>
      </w:r>
    </w:p>
    <w:p>
      <w:pPr>
        <w:pStyle w:val="Normal1"/>
        <w:spacing w:lineRule="auto" w:line="360"/>
        <w:ind w:hanging="0" w:left="-283" w:right="-220"/>
        <w:jc w:val="both"/>
        <w:rPr/>
      </w:pPr>
      <w:r>
        <w:rPr>
          <w:rFonts w:cs="Arial" w:ascii="Arial" w:hAnsi="Arial"/>
          <w:sz w:val="22"/>
          <w:szCs w:val="22"/>
        </w:rPr>
        <w:t xml:space="preserve">La profundidad y calidad de las vivencias que acompañan el proceso que se da en el entorno de lo que se ha venido a llamar “el Final de la Vida”, deben ser vistas como una oportunidad de encontrar o fortalecer los recursos de la persona, que le permitan el cierre de su vida con dignidad, coraje y confianza. (asunto final). La persona, dotada de conciencia en evolución, en su naturaleza esencial es profundamente espiritual. De esta naturaleza que le conforma, y que aspira a la integridad y plenitud, surge el inagotable anhelo de dotar a la vida de sentido, armonía en sus relaciones con los demás y trascendencia al momento de morir. </w:t>
      </w:r>
      <w:r>
        <w:rPr>
          <w:rFonts w:cs="Arial" w:ascii="Arial" w:hAnsi="Arial"/>
          <w:sz w:val="24"/>
          <w:szCs w:val="24"/>
        </w:rPr>
        <w:t xml:space="preserve"> </w:t>
      </w:r>
      <w:r>
        <w:rPr>
          <w:rFonts w:cs="Arial" w:ascii="Arial" w:hAnsi="Arial"/>
          <w:sz w:val="22"/>
          <w:szCs w:val="22"/>
        </w:rPr>
        <w:t xml:space="preserve">Estas reflexiones nos servirán para construir nuestro Marco Mental necesario para comprender y </w:t>
      </w:r>
    </w:p>
    <w:p>
      <w:pPr>
        <w:pStyle w:val="Normal1"/>
        <w:spacing w:lineRule="auto" w:line="360"/>
        <w:ind w:hanging="0" w:left="-283" w:right="-220"/>
        <w:jc w:val="both"/>
        <w:rPr>
          <w:rFonts w:ascii="Arial" w:hAnsi="Arial" w:cs="Arial"/>
          <w:sz w:val="22"/>
          <w:szCs w:val="22"/>
        </w:rPr>
      </w:pPr>
      <w:r>
        <w:rPr>
          <w:rFonts w:cs="Arial" w:ascii="Arial" w:hAnsi="Arial"/>
          <w:sz w:val="22"/>
          <w:szCs w:val="22"/>
        </w:rPr>
      </w:r>
    </w:p>
    <w:p>
      <w:pPr>
        <w:pStyle w:val="Normal1"/>
        <w:spacing w:lineRule="auto" w:line="360"/>
        <w:ind w:hanging="0" w:left="-283" w:right="-220"/>
        <w:jc w:val="both"/>
        <w:rPr>
          <w:rFonts w:ascii="Arial" w:hAnsi="Arial" w:cs="Arial"/>
          <w:sz w:val="22"/>
          <w:szCs w:val="22"/>
        </w:rPr>
      </w:pPr>
      <w:r>
        <w:rPr>
          <w:rFonts w:cs="Arial" w:ascii="Arial" w:hAnsi="Arial"/>
          <w:sz w:val="22"/>
          <w:szCs w:val="22"/>
        </w:rPr>
        <w:drawing>
          <wp:anchor behindDoc="0" distT="0" distB="0" distL="0" distR="0" simplePos="0" locked="0" layoutInCell="0" allowOverlap="1" relativeHeight="13">
            <wp:simplePos x="0" y="0"/>
            <wp:positionH relativeFrom="column">
              <wp:posOffset>4742180</wp:posOffset>
            </wp:positionH>
            <wp:positionV relativeFrom="paragraph">
              <wp:posOffset>-609600</wp:posOffset>
            </wp:positionV>
            <wp:extent cx="785495" cy="786130"/>
            <wp:effectExtent l="0" t="0" r="0" b="0"/>
            <wp:wrapSquare wrapText="largest"/>
            <wp:docPr id="11" name="Imagen1 Copia 2 Copia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1 Copia 2 Copia 8" descr=""/>
                    <pic:cNvPicPr>
                      <a:picLocks noChangeAspect="1" noChangeArrowheads="1"/>
                    </pic:cNvPicPr>
                  </pic:nvPicPr>
                  <pic:blipFill>
                    <a:blip r:embed="rId12"/>
                    <a:stretch>
                      <a:fillRect/>
                    </a:stretch>
                  </pic:blipFill>
                  <pic:spPr bwMode="auto">
                    <a:xfrm>
                      <a:off x="0" y="0"/>
                      <a:ext cx="785495" cy="786130"/>
                    </a:xfrm>
                    <a:prstGeom prst="rect">
                      <a:avLst/>
                    </a:prstGeom>
                  </pic:spPr>
                </pic:pic>
              </a:graphicData>
            </a:graphic>
          </wp:anchor>
        </w:drawing>
      </w:r>
    </w:p>
    <w:p>
      <w:pPr>
        <w:pStyle w:val="Normal1"/>
        <w:spacing w:lineRule="auto" w:line="360"/>
        <w:ind w:hanging="0" w:left="-283" w:right="-220"/>
        <w:jc w:val="both"/>
        <w:rPr>
          <w:rFonts w:ascii="Arial" w:hAnsi="Arial" w:cs="Arial"/>
          <w:sz w:val="22"/>
          <w:szCs w:val="22"/>
        </w:rPr>
      </w:pPr>
      <w:r>
        <w:rPr>
          <w:rFonts w:cs="Arial" w:ascii="Arial" w:hAnsi="Arial"/>
          <w:sz w:val="22"/>
          <w:szCs w:val="22"/>
        </w:rPr>
        <w:t xml:space="preserve">profundizar la Tanatología Teándrica con enfoque clínico y poder mejorar nuestra salud y la de otros, para desde nuestra espiritualidad ser seres humanos más plenos. </w:t>
      </w:r>
    </w:p>
    <w:p>
      <w:pPr>
        <w:pStyle w:val="Normal1"/>
        <w:spacing w:lineRule="auto" w:line="360"/>
        <w:ind w:hanging="0" w:left="-283" w:right="-220"/>
        <w:jc w:val="both"/>
        <w:rPr>
          <w:rFonts w:ascii="Arial" w:hAnsi="Arial" w:cs="Arial"/>
          <w:sz w:val="22"/>
          <w:szCs w:val="22"/>
        </w:rPr>
      </w:pPr>
      <w:r>
        <w:rPr>
          <w:rFonts w:cs="Arial" w:ascii="Arial" w:hAnsi="Arial"/>
          <w:sz w:val="22"/>
          <w:szCs w:val="22"/>
        </w:rPr>
      </w:r>
    </w:p>
    <w:p>
      <w:pPr>
        <w:pStyle w:val="Normal1"/>
        <w:spacing w:lineRule="auto" w:line="360"/>
        <w:ind w:hanging="0" w:left="-283" w:right="-220"/>
        <w:jc w:val="both"/>
        <w:rPr>
          <w:sz w:val="22"/>
          <w:szCs w:val="22"/>
        </w:rPr>
      </w:pPr>
      <w:r>
        <w:rPr>
          <w:rFonts w:eastAsia="Times New Roman" w:cs="Times New Roman" w:ascii="Arial" w:hAnsi="Arial"/>
          <w:b/>
          <w:position w:val="0"/>
          <w:sz w:val="22"/>
          <w:sz w:val="22"/>
          <w:szCs w:val="22"/>
          <w:vertAlign w:val="baseline"/>
        </w:rPr>
        <w:t xml:space="preserve">2. Objetivo General. </w:t>
      </w:r>
    </w:p>
    <w:p>
      <w:pPr>
        <w:pStyle w:val="Normal1"/>
        <w:spacing w:lineRule="auto" w:line="360"/>
        <w:ind w:hanging="0" w:left="-283" w:right="-220"/>
        <w:jc w:val="both"/>
        <w:rPr>
          <w:sz w:val="22"/>
          <w:szCs w:val="22"/>
        </w:rPr>
      </w:pPr>
      <w:r>
        <w:rPr>
          <w:rFonts w:eastAsia="Times New Roman" w:cs="Times New Roman" w:ascii="Arial" w:hAnsi="Arial"/>
          <w:position w:val="0"/>
          <w:sz w:val="22"/>
          <w:sz w:val="22"/>
          <w:szCs w:val="22"/>
          <w:vertAlign w:val="baseline"/>
        </w:rPr>
        <w:t xml:space="preserve">Al finalizar el módulo, el participante conocerá </w:t>
      </w:r>
      <w:r>
        <w:rPr>
          <w:rFonts w:eastAsia="Times New Roman" w:cs="Times New Roman" w:ascii="Arial" w:hAnsi="Arial"/>
          <w:sz w:val="22"/>
          <w:szCs w:val="22"/>
        </w:rPr>
        <w:t>qué</w:t>
      </w:r>
      <w:r>
        <w:rPr>
          <w:rFonts w:eastAsia="Times New Roman" w:cs="Times New Roman" w:ascii="Arial" w:hAnsi="Arial"/>
          <w:position w:val="0"/>
          <w:sz w:val="22"/>
          <w:sz w:val="22"/>
          <w:szCs w:val="22"/>
          <w:vertAlign w:val="baseline"/>
        </w:rPr>
        <w:t xml:space="preserve"> es la Tanatología como ciencia, su relación con la ciencia y la espiritualidad humana, para iniciar a comprender que es la Tanatología Teándrica, su uso para manejar de manera asertiva pérdidas y duelos, así </w:t>
      </w:r>
      <w:r>
        <w:rPr>
          <w:rFonts w:eastAsia="Times New Roman" w:cs="Times New Roman" w:ascii="Arial" w:hAnsi="Arial"/>
          <w:sz w:val="22"/>
          <w:szCs w:val="22"/>
        </w:rPr>
        <w:t xml:space="preserve">como </w:t>
      </w:r>
      <w:r>
        <w:rPr>
          <w:rFonts w:eastAsia="Times New Roman" w:cs="Times New Roman" w:ascii="Arial" w:hAnsi="Arial"/>
          <w:position w:val="0"/>
          <w:sz w:val="22"/>
          <w:sz w:val="22"/>
          <w:szCs w:val="22"/>
          <w:vertAlign w:val="baseline"/>
        </w:rPr>
        <w:t xml:space="preserve">también identificará los aspectos relevantes y significativos de sus entornos y dimensiones personales, familiares y laborales, en base a la reflexión tanatológica, a la espiritualidad y al desarrollo humano pleno y trascendente, con el propósito de obtener una mejor comprensión de su salud integral y mejorar su experiencia personal de vida.  </w:t>
      </w:r>
    </w:p>
    <w:p>
      <w:pPr>
        <w:pStyle w:val="Normal1"/>
        <w:spacing w:lineRule="auto" w:line="360"/>
        <w:ind w:hanging="0" w:left="-283" w:right="-220"/>
        <w:jc w:val="both"/>
        <w:rPr>
          <w:sz w:val="22"/>
          <w:szCs w:val="22"/>
        </w:rPr>
      </w:pPr>
      <w:r>
        <w:rPr>
          <w:rFonts w:cs="Arial" w:ascii="Arial" w:hAnsi="Arial"/>
          <w:b/>
          <w:sz w:val="22"/>
          <w:szCs w:val="22"/>
        </w:rPr>
        <w:t>3. Objetivos específicos del Módulo.</w:t>
      </w:r>
    </w:p>
    <w:p>
      <w:pPr>
        <w:pStyle w:val="Default"/>
        <w:jc w:val="both"/>
        <w:rPr>
          <w:rFonts w:ascii="Arial" w:hAnsi="Arial" w:cs="Arial"/>
          <w:bCs/>
          <w:color w:val="auto"/>
          <w:sz w:val="22"/>
          <w:szCs w:val="22"/>
        </w:rPr>
      </w:pPr>
      <w:r>
        <w:rPr>
          <w:rFonts w:cs="Arial" w:ascii="Arial" w:hAnsi="Arial"/>
          <w:bCs/>
          <w:color w:val="auto"/>
          <w:sz w:val="22"/>
          <w:szCs w:val="22"/>
        </w:rPr>
      </w:r>
    </w:p>
    <w:p>
      <w:pPr>
        <w:pStyle w:val="Default"/>
        <w:numPr>
          <w:ilvl w:val="0"/>
          <w:numId w:val="1"/>
        </w:numPr>
        <w:jc w:val="both"/>
        <w:rPr>
          <w:sz w:val="22"/>
          <w:szCs w:val="22"/>
        </w:rPr>
      </w:pPr>
      <w:r>
        <w:rPr>
          <w:rFonts w:cs="Arial" w:ascii="Arial" w:hAnsi="Arial"/>
          <w:bCs/>
          <w:color w:val="auto"/>
          <w:sz w:val="22"/>
          <w:szCs w:val="22"/>
        </w:rPr>
        <w:t>Conocer que es la Tanatología desde un enfoque de ciencia y espiritualidad sus usos para el desarrollo humano.</w:t>
      </w:r>
    </w:p>
    <w:p>
      <w:pPr>
        <w:pStyle w:val="Default"/>
        <w:ind w:left="720"/>
        <w:jc w:val="both"/>
        <w:rPr>
          <w:rFonts w:ascii="Arial" w:hAnsi="Arial" w:cs="Arial"/>
          <w:bCs/>
          <w:color w:val="auto"/>
          <w:sz w:val="22"/>
          <w:szCs w:val="22"/>
        </w:rPr>
      </w:pPr>
      <w:r>
        <w:rPr>
          <w:rFonts w:cs="Arial" w:ascii="Arial" w:hAnsi="Arial"/>
          <w:bCs/>
          <w:color w:val="auto"/>
          <w:sz w:val="22"/>
          <w:szCs w:val="22"/>
        </w:rPr>
      </w:r>
    </w:p>
    <w:p>
      <w:pPr>
        <w:pStyle w:val="Default"/>
        <w:numPr>
          <w:ilvl w:val="0"/>
          <w:numId w:val="1"/>
        </w:numPr>
        <w:jc w:val="both"/>
        <w:rPr>
          <w:sz w:val="22"/>
          <w:szCs w:val="22"/>
        </w:rPr>
      </w:pPr>
      <w:r>
        <w:rPr>
          <w:rFonts w:cs="Arial" w:ascii="Arial" w:hAnsi="Arial"/>
          <w:bCs/>
          <w:color w:val="auto"/>
          <w:sz w:val="22"/>
          <w:szCs w:val="22"/>
        </w:rPr>
        <w:t>Conocer que es la espiritualidad y sus usos para la salud y el beneficio los ciclos vitales.</w:t>
      </w:r>
    </w:p>
    <w:p>
      <w:pPr>
        <w:pStyle w:val="Default"/>
        <w:jc w:val="both"/>
        <w:rPr>
          <w:sz w:val="22"/>
          <w:szCs w:val="22"/>
        </w:rPr>
      </w:pPr>
      <w:r>
        <w:rPr>
          <w:rFonts w:cs="Arial" w:ascii="Arial" w:hAnsi="Arial"/>
          <w:bCs/>
          <w:color w:val="auto"/>
          <w:sz w:val="22"/>
          <w:szCs w:val="22"/>
        </w:rPr>
        <w:t xml:space="preserve"> </w:t>
      </w:r>
    </w:p>
    <w:p>
      <w:pPr>
        <w:pStyle w:val="Default"/>
        <w:numPr>
          <w:ilvl w:val="0"/>
          <w:numId w:val="1"/>
        </w:numPr>
        <w:jc w:val="both"/>
        <w:rPr>
          <w:sz w:val="22"/>
          <w:szCs w:val="22"/>
        </w:rPr>
      </w:pPr>
      <w:r>
        <w:rPr>
          <w:rFonts w:cs="Arial" w:ascii="Arial" w:hAnsi="Arial"/>
          <w:bCs/>
          <w:color w:val="auto"/>
          <w:sz w:val="22"/>
          <w:szCs w:val="22"/>
        </w:rPr>
        <w:t xml:space="preserve">Comprender como la espiritualidad genera experiencias de bienestar en el ciclo de la vida, la muerte, la trascendencia y la espiritualiad. </w:t>
      </w:r>
    </w:p>
    <w:p>
      <w:pPr>
        <w:pStyle w:val="Default"/>
        <w:jc w:val="both"/>
        <w:rPr>
          <w:sz w:val="22"/>
          <w:szCs w:val="22"/>
        </w:rPr>
      </w:pPr>
      <w:r>
        <w:rPr>
          <w:rFonts w:cs="Arial" w:ascii="Arial" w:hAnsi="Arial"/>
          <w:bCs/>
          <w:color w:val="auto"/>
          <w:sz w:val="22"/>
          <w:szCs w:val="22"/>
        </w:rPr>
        <w:t xml:space="preserve"> </w:t>
      </w:r>
    </w:p>
    <w:p>
      <w:pPr>
        <w:pStyle w:val="Default"/>
        <w:numPr>
          <w:ilvl w:val="0"/>
          <w:numId w:val="1"/>
        </w:numPr>
        <w:jc w:val="both"/>
        <w:rPr>
          <w:sz w:val="22"/>
          <w:szCs w:val="22"/>
        </w:rPr>
      </w:pPr>
      <w:r>
        <w:rPr>
          <w:rFonts w:cs="Arial" w:ascii="Arial" w:hAnsi="Arial"/>
          <w:bCs/>
          <w:color w:val="auto"/>
          <w:sz w:val="22"/>
          <w:szCs w:val="22"/>
        </w:rPr>
        <w:t xml:space="preserve">Generar bases teóricas iniciales para identificar los aspectos relevantes y significativos de los entornos y dimensiones personales, familiares y laborales. </w:t>
      </w:r>
    </w:p>
    <w:p>
      <w:pPr>
        <w:pStyle w:val="Default"/>
        <w:ind w:hanging="0" w:left="720"/>
        <w:jc w:val="both"/>
        <w:rPr>
          <w:sz w:val="22"/>
          <w:szCs w:val="22"/>
        </w:rPr>
      </w:pPr>
      <w:r>
        <w:rPr>
          <w:sz w:val="22"/>
          <w:szCs w:val="22"/>
        </w:rPr>
      </w:r>
    </w:p>
    <w:p>
      <w:pPr>
        <w:pStyle w:val="Default"/>
        <w:numPr>
          <w:ilvl w:val="0"/>
          <w:numId w:val="1"/>
        </w:numPr>
        <w:jc w:val="both"/>
        <w:rPr>
          <w:sz w:val="22"/>
          <w:szCs w:val="22"/>
        </w:rPr>
      </w:pPr>
      <w:r>
        <w:rPr>
          <w:rFonts w:cs="Arial" w:ascii="Arial" w:hAnsi="Arial"/>
          <w:bCs/>
          <w:color w:val="auto"/>
          <w:sz w:val="22"/>
          <w:szCs w:val="22"/>
        </w:rPr>
        <w:t xml:space="preserve">Definir que es la Tanatología Teándrica. </w:t>
      </w:r>
    </w:p>
    <w:p>
      <w:pPr>
        <w:pStyle w:val="Default"/>
        <w:ind w:left="720"/>
        <w:jc w:val="both"/>
        <w:rPr>
          <w:rFonts w:ascii="Arial" w:hAnsi="Arial" w:cs="Arial"/>
          <w:bCs/>
          <w:color w:val="auto"/>
          <w:sz w:val="22"/>
          <w:szCs w:val="22"/>
        </w:rPr>
      </w:pPr>
      <w:r>
        <w:rPr>
          <w:rFonts w:cs="Arial" w:ascii="Arial" w:hAnsi="Arial"/>
          <w:bCs/>
          <w:color w:val="auto"/>
          <w:sz w:val="22"/>
          <w:szCs w:val="22"/>
        </w:rPr>
      </w:r>
    </w:p>
    <w:p>
      <w:pPr>
        <w:pStyle w:val="Default"/>
        <w:numPr>
          <w:ilvl w:val="0"/>
          <w:numId w:val="1"/>
        </w:numPr>
        <w:jc w:val="both"/>
        <w:rPr>
          <w:sz w:val="22"/>
          <w:szCs w:val="22"/>
        </w:rPr>
      </w:pPr>
      <w:r>
        <w:rPr>
          <w:rFonts w:cs="Arial" w:ascii="Arial" w:hAnsi="Arial"/>
          <w:bCs/>
          <w:color w:val="auto"/>
          <w:sz w:val="22"/>
          <w:szCs w:val="22"/>
        </w:rPr>
        <w:t xml:space="preserve">Generar la adquisición de primeras habilidades en intervención tanatológica espiritual, para la salud integral con el propósito inicial de brindar ayuda ante un problema, emergencia, crisis, etc. </w:t>
      </w:r>
    </w:p>
    <w:p>
      <w:pPr>
        <w:pStyle w:val="Default"/>
        <w:ind w:hanging="0" w:left="720"/>
        <w:jc w:val="both"/>
        <w:rPr>
          <w:rFonts w:ascii="Arial" w:hAnsi="Arial" w:cs="Arial"/>
          <w:bCs/>
          <w:color w:val="auto"/>
          <w:sz w:val="22"/>
          <w:szCs w:val="22"/>
        </w:rPr>
      </w:pPr>
      <w:r>
        <w:rPr>
          <w:rFonts w:cs="Arial" w:ascii="Arial" w:hAnsi="Arial"/>
          <w:bCs/>
          <w:color w:val="auto"/>
          <w:sz w:val="22"/>
          <w:szCs w:val="22"/>
        </w:rPr>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sz w:val="22"/>
          <w:szCs w:val="22"/>
        </w:rPr>
      </w:r>
    </w:p>
    <w:p>
      <w:pPr>
        <w:pStyle w:val="Normal"/>
        <w:spacing w:lineRule="auto" w:line="240"/>
        <w:jc w:val="both"/>
        <w:rPr>
          <w:rFonts w:ascii="Arial" w:hAnsi="Arial" w:cs="Arial"/>
          <w:b/>
        </w:rPr>
      </w:pPr>
      <w:r>
        <w:rPr>
          <w:rFonts w:cs="Arial" w:ascii="Arial" w:hAnsi="Arial"/>
          <w:b/>
        </w:rPr>
      </w:r>
    </w:p>
    <w:p>
      <w:pPr>
        <w:pStyle w:val="Normal"/>
        <w:spacing w:lineRule="auto" w:line="240"/>
        <w:jc w:val="both"/>
        <w:rPr>
          <w:sz w:val="22"/>
          <w:szCs w:val="22"/>
        </w:rPr>
      </w:pPr>
      <w:r>
        <w:drawing>
          <wp:anchor behindDoc="0" distT="0" distB="0" distL="0" distR="0" simplePos="0" locked="0" layoutInCell="0" allowOverlap="1" relativeHeight="14">
            <wp:simplePos x="0" y="0"/>
            <wp:positionH relativeFrom="column">
              <wp:posOffset>4781550</wp:posOffset>
            </wp:positionH>
            <wp:positionV relativeFrom="paragraph">
              <wp:posOffset>-855345</wp:posOffset>
            </wp:positionV>
            <wp:extent cx="785495" cy="786130"/>
            <wp:effectExtent l="0" t="0" r="0" b="0"/>
            <wp:wrapSquare wrapText="largest"/>
            <wp:docPr id="12" name="Imagen1 Copia 2 Copia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1 Copia 2 Copia 9" descr=""/>
                    <pic:cNvPicPr>
                      <a:picLocks noChangeAspect="1" noChangeArrowheads="1"/>
                    </pic:cNvPicPr>
                  </pic:nvPicPr>
                  <pic:blipFill>
                    <a:blip r:embed="rId13"/>
                    <a:stretch>
                      <a:fillRect/>
                    </a:stretch>
                  </pic:blipFill>
                  <pic:spPr bwMode="auto">
                    <a:xfrm>
                      <a:off x="0" y="0"/>
                      <a:ext cx="785495" cy="786130"/>
                    </a:xfrm>
                    <a:prstGeom prst="rect">
                      <a:avLst/>
                    </a:prstGeom>
                  </pic:spPr>
                </pic:pic>
              </a:graphicData>
            </a:graphic>
          </wp:anchor>
        </w:drawing>
      </w:r>
      <w:r>
        <w:rPr>
          <w:rFonts w:cs="Arial" w:ascii="Arial" w:hAnsi="Arial"/>
          <w:b/>
          <w:sz w:val="22"/>
          <w:szCs w:val="22"/>
        </w:rPr>
        <w:t>4. Duración:</w:t>
      </w:r>
    </w:p>
    <w:p>
      <w:pPr>
        <w:pStyle w:val="Normal"/>
        <w:spacing w:lineRule="auto" w:line="240"/>
        <w:jc w:val="both"/>
        <w:rPr>
          <w:sz w:val="22"/>
          <w:szCs w:val="22"/>
        </w:rPr>
      </w:pPr>
      <w:r>
        <w:rPr>
          <w:rFonts w:cs="Arial" w:ascii="Arial" w:hAnsi="Arial"/>
          <w:bCs/>
          <w:sz w:val="22"/>
          <w:szCs w:val="22"/>
        </w:rPr>
        <w:t xml:space="preserve">16 horas. 4 horas en Linea presencial y 8 horas en modalidad asincrónica, 4 horas de actividades de lecturas individuales. </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5. Criterios de Evaluación:</w:t>
      </w:r>
    </w:p>
    <w:p>
      <w:pPr>
        <w:pStyle w:val="Normal"/>
        <w:spacing w:lineRule="auto" w:line="240"/>
        <w:jc w:val="both"/>
        <w:rPr>
          <w:sz w:val="22"/>
          <w:szCs w:val="22"/>
        </w:rPr>
      </w:pPr>
      <w:r>
        <w:rPr>
          <w:rFonts w:cs="Arial" w:ascii="Arial" w:hAnsi="Arial"/>
          <w:bCs/>
          <w:sz w:val="22"/>
          <w:szCs w:val="22"/>
        </w:rPr>
        <w:t>La máxima calificación es 10. Para obtenerla se evaluarán a los participantes de la siguiente manera:</w:t>
      </w:r>
    </w:p>
    <w:tbl>
      <w:tblPr>
        <w:tblW w:w="8838" w:type="dxa"/>
        <w:jc w:val="left"/>
        <w:tblInd w:w="-45" w:type="dxa"/>
        <w:tblLayout w:type="fixed"/>
        <w:tblCellMar>
          <w:top w:w="0" w:type="dxa"/>
          <w:left w:w="108" w:type="dxa"/>
          <w:bottom w:w="0" w:type="dxa"/>
          <w:right w:w="108" w:type="dxa"/>
        </w:tblCellMar>
      </w:tblPr>
      <w:tblGrid>
        <w:gridCol w:w="3125"/>
        <w:gridCol w:w="1111"/>
        <w:gridCol w:w="4602"/>
      </w:tblGrid>
      <w:tr>
        <w:trPr/>
        <w:tc>
          <w:tcPr>
            <w:tcW w:w="3125" w:type="dxa"/>
            <w:tcBorders>
              <w:top w:val="single" w:sz="4" w:space="0" w:color="000000"/>
              <w:left w:val="single" w:sz="4" w:space="0" w:color="000000"/>
              <w:bottom w:val="single" w:sz="4" w:space="0" w:color="000000"/>
              <w:right w:val="single" w:sz="4" w:space="0" w:color="000000"/>
            </w:tcBorders>
            <w:shd w:fill="D9E2F3" w:val="clear"/>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b/>
                <w:position w:val="0"/>
                <w:sz w:val="12"/>
                <w:sz w:val="12"/>
                <w:szCs w:val="12"/>
                <w:vertAlign w:val="baseline"/>
              </w:rPr>
              <w:t>CRITERIOS</w:t>
            </w:r>
          </w:p>
        </w:tc>
        <w:tc>
          <w:tcPr>
            <w:tcW w:w="1111" w:type="dxa"/>
            <w:tcBorders>
              <w:top w:val="single" w:sz="4" w:space="0" w:color="000000"/>
              <w:left w:val="single" w:sz="4" w:space="0" w:color="000000"/>
              <w:bottom w:val="single" w:sz="4" w:space="0" w:color="000000"/>
              <w:right w:val="single" w:sz="4" w:space="0" w:color="000000"/>
            </w:tcBorders>
            <w:shd w:fill="D9E2F3" w:val="clear"/>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b/>
                <w:sz w:val="12"/>
                <w:szCs w:val="12"/>
              </w:rPr>
              <w:t>Porcentaje</w:t>
            </w:r>
          </w:p>
        </w:tc>
        <w:tc>
          <w:tcPr>
            <w:tcW w:w="4602" w:type="dxa"/>
            <w:tcBorders>
              <w:top w:val="single" w:sz="4" w:space="0" w:color="000000"/>
              <w:left w:val="single" w:sz="4" w:space="0" w:color="000000"/>
              <w:bottom w:val="single" w:sz="4" w:space="0" w:color="000000"/>
              <w:right w:val="single" w:sz="4" w:space="0" w:color="000000"/>
            </w:tcBorders>
            <w:shd w:fill="D9E2F3" w:val="clear"/>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b/>
                <w:position w:val="0"/>
                <w:sz w:val="12"/>
                <w:sz w:val="12"/>
                <w:szCs w:val="12"/>
                <w:vertAlign w:val="baseline"/>
              </w:rPr>
              <w:t>CARACTERÍSTICAS</w:t>
            </w:r>
          </w:p>
        </w:tc>
      </w:tr>
      <w:tr>
        <w:trPr/>
        <w:tc>
          <w:tcPr>
            <w:tcW w:w="3125"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Participación y asistencia para los seis módulos.</w:t>
            </w:r>
          </w:p>
        </w:tc>
        <w:tc>
          <w:tcPr>
            <w:tcW w:w="1111"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4 punto</w:t>
            </w:r>
          </w:p>
        </w:tc>
        <w:tc>
          <w:tcPr>
            <w:tcW w:w="4602"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sz w:val="12"/>
                <w:szCs w:val="12"/>
              </w:rPr>
              <w:t>Ingreso</w:t>
            </w:r>
            <w:r>
              <w:rPr>
                <w:rFonts w:eastAsia="Times New Roman" w:cs="Times New Roman" w:ascii="Arial" w:hAnsi="Arial"/>
                <w:position w:val="0"/>
                <w:sz w:val="12"/>
                <w:sz w:val="12"/>
                <w:szCs w:val="12"/>
                <w:vertAlign w:val="baseline"/>
              </w:rPr>
              <w:t xml:space="preserve"> a la plataforma.</w:t>
            </w:r>
          </w:p>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sz w:val="12"/>
                <w:szCs w:val="12"/>
              </w:rPr>
              <w:t>Ingreso</w:t>
            </w:r>
            <w:r>
              <w:rPr>
                <w:rFonts w:eastAsia="Times New Roman" w:cs="Times New Roman" w:ascii="Arial" w:hAnsi="Arial"/>
                <w:position w:val="0"/>
                <w:sz w:val="12"/>
                <w:sz w:val="12"/>
                <w:szCs w:val="12"/>
                <w:vertAlign w:val="baseline"/>
              </w:rPr>
              <w:t xml:space="preserve"> y participación en las clases taller.</w:t>
            </w:r>
          </w:p>
        </w:tc>
      </w:tr>
      <w:tr>
        <w:trPr/>
        <w:tc>
          <w:tcPr>
            <w:tcW w:w="3125"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Entrega de todos los trabajos, actividades y casos. Participación en los debates y ejercicios de reflexión.</w:t>
            </w:r>
          </w:p>
        </w:tc>
        <w:tc>
          <w:tcPr>
            <w:tcW w:w="1111"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eastAsia="Times New Roman" w:cs="Times New Roman"/>
                <w:position w:val="0"/>
                <w:sz w:val="12"/>
                <w:sz w:val="12"/>
                <w:szCs w:val="12"/>
                <w:vertAlign w:val="baseline"/>
              </w:rPr>
            </w:pPr>
            <w:r>
              <w:rPr>
                <w:rFonts w:eastAsia="Times New Roman" w:cs="Times New Roman" w:ascii="Arial" w:hAnsi="Arial"/>
                <w:position w:val="0"/>
                <w:sz w:val="12"/>
                <w:sz w:val="12"/>
                <w:szCs w:val="12"/>
                <w:vertAlign w:val="baseline"/>
              </w:rPr>
            </w:r>
          </w:p>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2 puntos</w:t>
            </w:r>
          </w:p>
        </w:tc>
        <w:tc>
          <w:tcPr>
            <w:tcW w:w="4602"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Haber enviado los trabajos en tiempo y según las indicaciones.</w:t>
            </w:r>
          </w:p>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Cumplir con los criterios y formatos solicitados.</w:t>
            </w:r>
          </w:p>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Reflexión personal en sus conclusiones y ejemplos citados.</w:t>
            </w:r>
          </w:p>
        </w:tc>
      </w:tr>
      <w:tr>
        <w:trPr/>
        <w:tc>
          <w:tcPr>
            <w:tcW w:w="3125"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Evaluación final, elaboración de cuestionario de preguntas para identificar los saberes adquiridos.</w:t>
            </w:r>
          </w:p>
        </w:tc>
        <w:tc>
          <w:tcPr>
            <w:tcW w:w="1111"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200"/>
              <w:ind w:hanging="0" w:left="-283" w:right="-220"/>
              <w:jc w:val="center"/>
              <w:rPr>
                <w:rFonts w:ascii="Arial" w:hAnsi="Arial" w:eastAsia="Times New Roman" w:cs="Times New Roman"/>
                <w:position w:val="0"/>
                <w:sz w:val="12"/>
                <w:sz w:val="12"/>
                <w:szCs w:val="12"/>
                <w:vertAlign w:val="baseline"/>
              </w:rPr>
            </w:pPr>
            <w:r>
              <w:rPr>
                <w:rFonts w:eastAsia="Times New Roman" w:cs="Times New Roman" w:ascii="Arial" w:hAnsi="Arial"/>
                <w:position w:val="0"/>
                <w:sz w:val="12"/>
                <w:sz w:val="12"/>
                <w:szCs w:val="12"/>
                <w:vertAlign w:val="baseline"/>
              </w:rPr>
            </w:r>
          </w:p>
          <w:p>
            <w:pPr>
              <w:pStyle w:val="Normal1"/>
              <w:widowControl/>
              <w:spacing w:lineRule="auto" w:line="240" w:before="0" w:after="20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4 puntos</w:t>
            </w:r>
          </w:p>
        </w:tc>
        <w:tc>
          <w:tcPr>
            <w:tcW w:w="4602" w:type="dxa"/>
            <w:tcBorders>
              <w:top w:val="single" w:sz="4" w:space="0" w:color="000000"/>
              <w:left w:val="single" w:sz="4" w:space="0" w:color="000000"/>
              <w:bottom w:val="single" w:sz="4" w:space="0" w:color="000000"/>
              <w:right w:val="single" w:sz="4" w:space="0" w:color="000000"/>
            </w:tcBorders>
          </w:tcPr>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Examen General de Conocimientos.</w:t>
            </w:r>
          </w:p>
          <w:p>
            <w:pPr>
              <w:pStyle w:val="Normal1"/>
              <w:widowControl/>
              <w:spacing w:lineRule="auto" w:line="240" w:before="0" w:after="0"/>
              <w:ind w:hanging="0" w:left="-283" w:right="-220"/>
              <w:jc w:val="center"/>
              <w:rPr>
                <w:rFonts w:ascii="Arial" w:hAnsi="Arial"/>
                <w:sz w:val="12"/>
                <w:szCs w:val="12"/>
              </w:rPr>
            </w:pPr>
            <w:r>
              <w:rPr>
                <w:rFonts w:eastAsia="Times New Roman" w:cs="Times New Roman" w:ascii="Arial" w:hAnsi="Arial"/>
                <w:position w:val="0"/>
                <w:sz w:val="12"/>
                <w:sz w:val="12"/>
                <w:szCs w:val="12"/>
                <w:vertAlign w:val="baseline"/>
              </w:rPr>
              <w:t>Reflexión y uso de los conceptos y elementos temáticos revisados en el curso.</w:t>
            </w:r>
          </w:p>
        </w:tc>
      </w:tr>
    </w:tbl>
    <w:p>
      <w:pPr>
        <w:pStyle w:val="Normal1"/>
        <w:spacing w:lineRule="auto" w:line="240"/>
        <w:ind w:hanging="0" w:left="-283" w:right="-220"/>
        <w:jc w:val="both"/>
        <w:rPr>
          <w:rFonts w:ascii="Times New Roman" w:hAnsi="Times New Roman" w:eastAsia="Times New Roman" w:cs="Times New Roman"/>
          <w:b/>
          <w:position w:val="0"/>
          <w:sz w:val="24"/>
          <w:sz w:val="24"/>
          <w:szCs w:val="24"/>
          <w:vertAlign w:val="baseline"/>
        </w:rPr>
      </w:pPr>
      <w:r>
        <w:rPr>
          <w:rFonts w:eastAsia="Times New Roman" w:cs="Times New Roman" w:ascii="Times New Roman" w:hAnsi="Times New Roman"/>
          <w:b/>
          <w:position w:val="0"/>
          <w:sz w:val="24"/>
          <w:sz w:val="24"/>
          <w:szCs w:val="24"/>
          <w:vertAlign w:val="baseline"/>
        </w:rPr>
      </w:r>
    </w:p>
    <w:p>
      <w:pPr>
        <w:pStyle w:val="Normal"/>
        <w:spacing w:lineRule="auto" w:line="240"/>
        <w:jc w:val="both"/>
        <w:rPr>
          <w:sz w:val="22"/>
          <w:szCs w:val="22"/>
        </w:rPr>
      </w:pPr>
      <w:r>
        <w:rPr>
          <w:rFonts w:cs="Arial" w:ascii="Arial" w:hAnsi="Arial"/>
          <w:b/>
          <w:sz w:val="22"/>
          <w:szCs w:val="22"/>
        </w:rPr>
        <w:t>6. Evaluación.</w:t>
      </w:r>
    </w:p>
    <w:p>
      <w:pPr>
        <w:pStyle w:val="Normal"/>
        <w:spacing w:lineRule="auto" w:line="240"/>
        <w:jc w:val="both"/>
        <w:rPr>
          <w:b w:val="false"/>
          <w:bCs w:val="false"/>
        </w:rPr>
      </w:pPr>
      <w:r>
        <w:rPr>
          <w:rFonts w:cs="Arial" w:ascii="Arial" w:hAnsi="Arial"/>
          <w:b w:val="false"/>
          <w:bCs w:val="false"/>
          <w:sz w:val="22"/>
          <w:szCs w:val="22"/>
        </w:rPr>
        <w:t xml:space="preserve">Las siguientes preguntas deberán ser contestadas por el alumno y enviadas para su revisión en la página </w:t>
      </w:r>
      <w:hyperlink r:id="rId14">
        <w:r>
          <w:rPr>
            <w:rStyle w:val="Hyperlink"/>
            <w:rFonts w:cs="Arial" w:ascii="Arial" w:hAnsi="Arial"/>
            <w:b w:val="false"/>
            <w:bCs w:val="false"/>
            <w:sz w:val="22"/>
            <w:szCs w:val="22"/>
          </w:rPr>
          <w:t>www.centrodetanatologiaatmandhyana.com</w:t>
        </w:r>
      </w:hyperlink>
      <w:r>
        <w:rPr>
          <w:rFonts w:cs="Arial" w:ascii="Arial" w:hAnsi="Arial"/>
          <w:b w:val="false"/>
          <w:bCs w:val="false"/>
          <w:sz w:val="22"/>
          <w:szCs w:val="22"/>
        </w:rPr>
        <w:t xml:space="preserve">     </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1. ¿Qué es la tanatología?</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2. ¿Qué propone la tanatología teándrica?</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3. ¿Qué es la espiritualidad?</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4. ¿Qué es la ciencia?</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5. ¿Qué aporta la tanatología y la espiritualidad para atender el duelo?</w:t>
      </w:r>
    </w:p>
    <w:p>
      <w:pPr>
        <w:pStyle w:val="Normal"/>
        <w:spacing w:lineRule="auto" w:line="240"/>
        <w:jc w:val="both"/>
        <w:rPr>
          <w:rFonts w:ascii="Arial" w:hAnsi="Arial" w:cs="Arial"/>
          <w:b/>
          <w:sz w:val="24"/>
          <w:szCs w:val="24"/>
        </w:rPr>
      </w:pPr>
      <w:r>
        <w:rPr>
          <w:rFonts w:cs="Arial" w:ascii="Arial" w:hAnsi="Arial"/>
          <w:b/>
          <w:sz w:val="24"/>
          <w:szCs w:val="24"/>
        </w:rPr>
      </w:r>
    </w:p>
    <w:p>
      <w:pPr>
        <w:pStyle w:val="Normal"/>
        <w:spacing w:lineRule="auto" w:line="240"/>
        <w:jc w:val="both"/>
        <w:rPr>
          <w:rFonts w:ascii="Arial" w:hAnsi="Arial" w:cs="Arial"/>
          <w:b/>
          <w:sz w:val="24"/>
          <w:szCs w:val="24"/>
        </w:rPr>
      </w:pPr>
      <w:r>
        <w:rPr>
          <w:rFonts w:cs="Arial" w:ascii="Arial" w:hAnsi="Arial"/>
          <w:b/>
          <w:sz w:val="24"/>
          <w:szCs w:val="24"/>
        </w:rPr>
      </w:r>
    </w:p>
    <w:p>
      <w:pPr>
        <w:pStyle w:val="Normal"/>
        <w:spacing w:lineRule="auto" w:line="240"/>
        <w:jc w:val="both"/>
        <w:rPr>
          <w:rFonts w:ascii="Arial" w:hAnsi="Arial" w:cs="Arial"/>
          <w:b/>
          <w:sz w:val="24"/>
          <w:szCs w:val="24"/>
        </w:rPr>
      </w:pPr>
      <w:r>
        <w:rPr>
          <w:rFonts w:cs="Arial" w:ascii="Arial" w:hAnsi="Arial"/>
          <w:b/>
          <w:sz w:val="24"/>
          <w:szCs w:val="24"/>
        </w:rPr>
      </w:r>
    </w:p>
    <w:p>
      <w:pPr>
        <w:pStyle w:val="Normal"/>
        <w:spacing w:lineRule="auto" w:line="240"/>
        <w:jc w:val="both"/>
        <w:rPr>
          <w:rFonts w:ascii="Arial" w:hAnsi="Arial" w:cs="Arial"/>
          <w:b/>
          <w:sz w:val="24"/>
          <w:szCs w:val="24"/>
        </w:rPr>
      </w:pPr>
      <w:r>
        <w:rPr>
          <w:rFonts w:cs="Arial" w:ascii="Arial" w:hAnsi="Arial"/>
          <w:b/>
          <w:sz w:val="24"/>
          <w:szCs w:val="24"/>
        </w:rPr>
        <w:drawing>
          <wp:anchor behindDoc="0" distT="0" distB="0" distL="0" distR="0" simplePos="0" locked="0" layoutInCell="0" allowOverlap="1" relativeHeight="15">
            <wp:simplePos x="0" y="0"/>
            <wp:positionH relativeFrom="column">
              <wp:posOffset>4781550</wp:posOffset>
            </wp:positionH>
            <wp:positionV relativeFrom="paragraph">
              <wp:posOffset>-855345</wp:posOffset>
            </wp:positionV>
            <wp:extent cx="785495" cy="786130"/>
            <wp:effectExtent l="0" t="0" r="0" b="0"/>
            <wp:wrapSquare wrapText="largest"/>
            <wp:docPr id="13" name="Imagen1 Copia 2 Copia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1 Copia 2 Copia 10" descr=""/>
                    <pic:cNvPicPr>
                      <a:picLocks noChangeAspect="1" noChangeArrowheads="1"/>
                    </pic:cNvPicPr>
                  </pic:nvPicPr>
                  <pic:blipFill>
                    <a:blip r:embed="rId15"/>
                    <a:stretch>
                      <a:fillRect/>
                    </a:stretch>
                  </pic:blipFill>
                  <pic:spPr bwMode="auto">
                    <a:xfrm>
                      <a:off x="0" y="0"/>
                      <a:ext cx="785495" cy="786130"/>
                    </a:xfrm>
                    <a:prstGeom prst="rect">
                      <a:avLst/>
                    </a:prstGeom>
                  </pic:spPr>
                </pic:pic>
              </a:graphicData>
            </a:graphic>
          </wp:anchor>
        </w:drawing>
      </w:r>
    </w:p>
    <w:p>
      <w:pPr>
        <w:pStyle w:val="Normal"/>
        <w:spacing w:lineRule="auto" w:line="240"/>
        <w:jc w:val="both"/>
        <w:rPr>
          <w:sz w:val="22"/>
          <w:szCs w:val="22"/>
        </w:rPr>
      </w:pPr>
      <w:r>
        <w:rPr>
          <w:rFonts w:cs="Arial" w:ascii="Arial" w:hAnsi="Arial"/>
          <w:b/>
          <w:sz w:val="22"/>
          <w:szCs w:val="22"/>
        </w:rPr>
        <w:t>7. Convocatoria extraordinaria:</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Cs/>
          <w:sz w:val="22"/>
          <w:szCs w:val="22"/>
        </w:rPr>
        <w:t xml:space="preserve">Para alumnos que no hayan concluido el módulo, la máxima calificación será un 8.  Presentarán una redacción tipo reflexivo sobre la Tanatología, Ciencia y Espiritualidad para una mejor calidad de vida. El valor de la reflexión es de 8 puntos en modalidad de ensayo breve.  </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8. Metodología de enseñanza:</w:t>
      </w:r>
    </w:p>
    <w:p>
      <w:pPr>
        <w:pStyle w:val="ListParagraph"/>
        <w:numPr>
          <w:ilvl w:val="0"/>
          <w:numId w:val="2"/>
        </w:numPr>
        <w:spacing w:lineRule="auto" w:line="240"/>
        <w:jc w:val="both"/>
        <w:rPr>
          <w:sz w:val="22"/>
          <w:szCs w:val="22"/>
        </w:rPr>
      </w:pPr>
      <w:r>
        <w:rPr>
          <w:rFonts w:cs="Arial" w:ascii="Arial" w:hAnsi="Arial"/>
          <w:bCs/>
          <w:sz w:val="22"/>
          <w:szCs w:val="22"/>
        </w:rPr>
        <w:t>Clases 100% en línea. El desarrollo del módulo será completamente web.</w:t>
      </w:r>
    </w:p>
    <w:p>
      <w:pPr>
        <w:pStyle w:val="ListParagraph"/>
        <w:spacing w:lineRule="auto" w:line="240"/>
        <w:jc w:val="both"/>
        <w:rPr>
          <w:rFonts w:ascii="Arial" w:hAnsi="Arial" w:cs="Arial"/>
          <w:bCs/>
          <w:sz w:val="22"/>
          <w:szCs w:val="22"/>
        </w:rPr>
      </w:pPr>
      <w:r>
        <w:rPr>
          <w:rFonts w:cs="Arial" w:ascii="Arial" w:hAnsi="Arial"/>
          <w:bCs/>
          <w:sz w:val="22"/>
          <w:szCs w:val="22"/>
        </w:rPr>
      </w:r>
    </w:p>
    <w:p>
      <w:pPr>
        <w:pStyle w:val="ListParagraph"/>
        <w:numPr>
          <w:ilvl w:val="0"/>
          <w:numId w:val="2"/>
        </w:numPr>
        <w:spacing w:lineRule="auto" w:line="240"/>
        <w:jc w:val="both"/>
        <w:rPr>
          <w:sz w:val="22"/>
          <w:szCs w:val="22"/>
        </w:rPr>
      </w:pPr>
      <w:r>
        <w:rPr>
          <w:rFonts w:cs="Arial" w:ascii="Arial" w:hAnsi="Arial"/>
          <w:bCs/>
          <w:sz w:val="22"/>
          <w:szCs w:val="22"/>
        </w:rPr>
        <w:t>Enseñanza ágil, flexible y colaborativa, de tal modo que a los alumnos les permita la conciliación entre la vida laboral y personal. En ese sentido si se organizan bien tendrán tiempo de sobra hasta para divertirse o tiempo para hacer lo que les gusta.</w:t>
      </w:r>
    </w:p>
    <w:p>
      <w:pPr>
        <w:pStyle w:val="ListParagraph"/>
        <w:spacing w:lineRule="auto" w:line="240"/>
        <w:jc w:val="both"/>
        <w:rPr>
          <w:rFonts w:ascii="Arial" w:hAnsi="Arial" w:cs="Arial"/>
          <w:bCs/>
          <w:sz w:val="22"/>
          <w:szCs w:val="22"/>
        </w:rPr>
      </w:pPr>
      <w:r>
        <w:rPr>
          <w:rFonts w:cs="Arial" w:ascii="Arial" w:hAnsi="Arial"/>
          <w:bCs/>
          <w:sz w:val="22"/>
          <w:szCs w:val="22"/>
        </w:rPr>
      </w:r>
    </w:p>
    <w:p>
      <w:pPr>
        <w:pStyle w:val="ListParagraph"/>
        <w:numPr>
          <w:ilvl w:val="0"/>
          <w:numId w:val="2"/>
        </w:numPr>
        <w:spacing w:lineRule="auto" w:line="240"/>
        <w:jc w:val="both"/>
        <w:rPr>
          <w:sz w:val="22"/>
          <w:szCs w:val="22"/>
        </w:rPr>
      </w:pPr>
      <w:r>
        <w:rPr>
          <w:rFonts w:cs="Arial" w:ascii="Arial" w:hAnsi="Arial"/>
          <w:bCs/>
          <w:sz w:val="22"/>
          <w:szCs w:val="22"/>
        </w:rPr>
        <w:t xml:space="preserve">El estudiante es un actor clave, se busca interactuar con las alumnas y los alumnos con espacios propicios para que entre ellos también interactúen, compartan sus conocimientos, experiencias y los aprendizajes que les deja cada unidad. </w:t>
      </w:r>
    </w:p>
    <w:p>
      <w:pPr>
        <w:pStyle w:val="ListParagraph"/>
        <w:spacing w:lineRule="auto" w:line="240"/>
        <w:jc w:val="both"/>
        <w:rPr>
          <w:rFonts w:ascii="Arial" w:hAnsi="Arial" w:cs="Arial"/>
          <w:bCs/>
          <w:sz w:val="22"/>
          <w:szCs w:val="22"/>
        </w:rPr>
      </w:pPr>
      <w:r>
        <w:rPr>
          <w:rFonts w:cs="Arial" w:ascii="Arial" w:hAnsi="Arial"/>
          <w:bCs/>
          <w:sz w:val="22"/>
          <w:szCs w:val="22"/>
        </w:rPr>
      </w:r>
    </w:p>
    <w:p>
      <w:pPr>
        <w:pStyle w:val="ListParagraph"/>
        <w:numPr>
          <w:ilvl w:val="0"/>
          <w:numId w:val="2"/>
        </w:numPr>
        <w:spacing w:lineRule="auto" w:line="240"/>
        <w:jc w:val="both"/>
        <w:rPr>
          <w:sz w:val="22"/>
          <w:szCs w:val="22"/>
        </w:rPr>
      </w:pPr>
      <w:r>
        <w:rPr>
          <w:rFonts w:cs="Arial" w:ascii="Arial" w:hAnsi="Arial"/>
          <w:bCs/>
          <w:sz w:val="22"/>
          <w:szCs w:val="22"/>
        </w:rPr>
        <w:t xml:space="preserve">Propiciaremos la reflexión en vivo para potencializar las habilidades que se pretenden desarrollar. Enriquecer el aprendizaje desde la experiencia, la práctica y las reflexiones de los alumnos.  </w:t>
      </w:r>
    </w:p>
    <w:p>
      <w:pPr>
        <w:pStyle w:val="Normal"/>
        <w:spacing w:lineRule="auto" w:line="240"/>
        <w:jc w:val="both"/>
        <w:rPr>
          <w:sz w:val="22"/>
          <w:szCs w:val="22"/>
        </w:rPr>
      </w:pPr>
      <w:r>
        <w:rPr>
          <w:sz w:val="22"/>
          <w:szCs w:val="22"/>
        </w:rPr>
      </w:r>
    </w:p>
    <w:p>
      <w:pPr>
        <w:pStyle w:val="Normal"/>
        <w:spacing w:lineRule="auto" w:line="240"/>
        <w:jc w:val="both"/>
        <w:rPr>
          <w:sz w:val="22"/>
          <w:szCs w:val="22"/>
        </w:rPr>
      </w:pPr>
      <w:r>
        <w:rPr>
          <w:rFonts w:cs="Arial" w:ascii="Arial" w:hAnsi="Arial"/>
          <w:b/>
          <w:sz w:val="22"/>
          <w:szCs w:val="22"/>
        </w:rPr>
        <w:t>9. Metodología de trabajo:</w:t>
      </w:r>
    </w:p>
    <w:p>
      <w:pPr>
        <w:pStyle w:val="ListParagraph"/>
        <w:numPr>
          <w:ilvl w:val="0"/>
          <w:numId w:val="3"/>
        </w:numPr>
        <w:spacing w:lineRule="auto" w:line="240"/>
        <w:jc w:val="both"/>
        <w:rPr>
          <w:sz w:val="22"/>
          <w:szCs w:val="22"/>
        </w:rPr>
      </w:pPr>
      <w:r>
        <w:rPr>
          <w:rFonts w:cs="Arial" w:ascii="Arial" w:hAnsi="Arial"/>
          <w:bCs/>
          <w:sz w:val="22"/>
          <w:szCs w:val="22"/>
        </w:rPr>
        <w:t>Reunión del curso vía web y exposición de material en Power Point.</w:t>
      </w:r>
    </w:p>
    <w:p>
      <w:pPr>
        <w:pStyle w:val="ListParagraph"/>
        <w:numPr>
          <w:ilvl w:val="0"/>
          <w:numId w:val="3"/>
        </w:numPr>
        <w:spacing w:lineRule="auto" w:line="240"/>
        <w:jc w:val="both"/>
        <w:rPr>
          <w:sz w:val="22"/>
          <w:szCs w:val="22"/>
        </w:rPr>
      </w:pPr>
      <w:r>
        <w:rPr>
          <w:rFonts w:cs="Arial" w:ascii="Arial" w:hAnsi="Arial"/>
          <w:bCs/>
          <w:sz w:val="22"/>
          <w:szCs w:val="22"/>
        </w:rPr>
        <w:t xml:space="preserve">Reflexión y dialogo de saberes con participantes. </w:t>
      </w:r>
    </w:p>
    <w:p>
      <w:pPr>
        <w:pStyle w:val="ListParagraph"/>
        <w:numPr>
          <w:ilvl w:val="0"/>
          <w:numId w:val="3"/>
        </w:numPr>
        <w:spacing w:lineRule="auto" w:line="240"/>
        <w:jc w:val="both"/>
        <w:rPr>
          <w:sz w:val="22"/>
          <w:szCs w:val="22"/>
        </w:rPr>
      </w:pPr>
      <w:r>
        <w:rPr>
          <w:rFonts w:cs="Arial" w:ascii="Arial" w:hAnsi="Arial"/>
          <w:bCs/>
          <w:sz w:val="22"/>
          <w:szCs w:val="22"/>
        </w:rPr>
        <w:t xml:space="preserve">Preguntas para generar la reflexión, el debate y confirmación de conocimiento. </w:t>
      </w:r>
    </w:p>
    <w:p>
      <w:pPr>
        <w:pStyle w:val="ListParagraph"/>
        <w:numPr>
          <w:ilvl w:val="0"/>
          <w:numId w:val="3"/>
        </w:numPr>
        <w:spacing w:lineRule="auto" w:line="240"/>
        <w:jc w:val="both"/>
        <w:rPr>
          <w:sz w:val="22"/>
          <w:szCs w:val="22"/>
        </w:rPr>
      </w:pPr>
      <w:r>
        <w:rPr>
          <w:rFonts w:cs="Arial" w:ascii="Arial" w:hAnsi="Arial"/>
          <w:bCs/>
          <w:sz w:val="22"/>
          <w:szCs w:val="22"/>
        </w:rPr>
        <w:t xml:space="preserve">Desarrollo de los conceptos teóricos en clase en línea, que quedará grabada para quién no pudo participar. </w:t>
      </w:r>
    </w:p>
    <w:p>
      <w:pPr>
        <w:pStyle w:val="ListParagraph"/>
        <w:numPr>
          <w:ilvl w:val="0"/>
          <w:numId w:val="3"/>
        </w:numPr>
        <w:spacing w:lineRule="auto" w:line="240"/>
        <w:jc w:val="both"/>
        <w:rPr>
          <w:sz w:val="22"/>
          <w:szCs w:val="22"/>
        </w:rPr>
      </w:pPr>
      <w:r>
        <w:rPr>
          <w:rFonts w:cs="Arial" w:ascii="Arial" w:hAnsi="Arial"/>
          <w:bCs/>
          <w:sz w:val="22"/>
          <w:szCs w:val="22"/>
        </w:rPr>
        <w:t xml:space="preserve">Evaluación de cierre. </w:t>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r>
    </w:p>
    <w:p>
      <w:pPr>
        <w:pStyle w:val="Normal"/>
        <w:spacing w:lineRule="auto" w:line="240" w:before="0" w:after="200"/>
        <w:jc w:val="both"/>
        <w:rPr>
          <w:sz w:val="22"/>
          <w:szCs w:val="22"/>
        </w:rPr>
      </w:pPr>
      <w:r>
        <w:rPr>
          <w:sz w:val="22"/>
          <w:szCs w:val="22"/>
        </w:rPr>
        <w:drawing>
          <wp:anchor behindDoc="0" distT="0" distB="0" distL="0" distR="0" simplePos="0" locked="0" layoutInCell="0" allowOverlap="1" relativeHeight="16">
            <wp:simplePos x="0" y="0"/>
            <wp:positionH relativeFrom="column">
              <wp:posOffset>4781550</wp:posOffset>
            </wp:positionH>
            <wp:positionV relativeFrom="paragraph">
              <wp:posOffset>-855345</wp:posOffset>
            </wp:positionV>
            <wp:extent cx="785495" cy="786130"/>
            <wp:effectExtent l="0" t="0" r="0" b="0"/>
            <wp:wrapSquare wrapText="largest"/>
            <wp:docPr id="14" name="Imagen1 Copia 2 Copia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1 Copia 2 Copia 11" descr=""/>
                    <pic:cNvPicPr>
                      <a:picLocks noChangeAspect="1" noChangeArrowheads="1"/>
                    </pic:cNvPicPr>
                  </pic:nvPicPr>
                  <pic:blipFill>
                    <a:blip r:embed="rId16"/>
                    <a:stretch>
                      <a:fillRect/>
                    </a:stretch>
                  </pic:blipFill>
                  <pic:spPr bwMode="auto">
                    <a:xfrm>
                      <a:off x="0" y="0"/>
                      <a:ext cx="785495" cy="786130"/>
                    </a:xfrm>
                    <a:prstGeom prst="rect">
                      <a:avLst/>
                    </a:prstGeom>
                  </pic:spPr>
                </pic:pic>
              </a:graphicData>
            </a:graphic>
          </wp:anchor>
        </w:drawing>
      </w:r>
    </w:p>
    <w:p>
      <w:pPr>
        <w:pStyle w:val="Normal"/>
        <w:spacing w:lineRule="auto" w:line="240" w:before="0" w:after="200"/>
        <w:jc w:val="both"/>
        <w:rPr>
          <w:rFonts w:ascii="Arial" w:hAnsi="Arial" w:cs="Arial"/>
          <w:b/>
          <w:sz w:val="24"/>
          <w:szCs w:val="24"/>
        </w:rPr>
      </w:pPr>
      <w:r>
        <w:rPr>
          <w:rFonts w:cs="Arial" w:ascii="Arial" w:hAnsi="Arial"/>
          <w:b/>
          <w:sz w:val="24"/>
          <w:szCs w:val="24"/>
        </w:rPr>
      </w:r>
    </w:p>
    <w:p>
      <w:pPr>
        <w:pStyle w:val="Normal"/>
        <w:spacing w:lineRule="auto" w:line="240" w:before="0" w:after="200"/>
        <w:jc w:val="both"/>
        <w:rPr>
          <w:sz w:val="22"/>
          <w:szCs w:val="22"/>
        </w:rPr>
      </w:pPr>
      <w:r>
        <w:rPr>
          <w:rFonts w:cs="Arial" w:ascii="Arial" w:hAnsi="Arial"/>
          <w:b/>
          <w:sz w:val="22"/>
          <w:szCs w:val="22"/>
        </w:rPr>
        <w:t>10. Marco Conceptual del Módulo.</w:t>
      </w:r>
    </w:p>
    <w:p>
      <w:pPr>
        <w:pStyle w:val="Normal"/>
        <w:jc w:val="both"/>
        <w:rPr>
          <w:sz w:val="22"/>
          <w:szCs w:val="22"/>
        </w:rPr>
      </w:pPr>
      <w:r>
        <w:rPr>
          <w:rFonts w:cs="Arial" w:ascii="Arial" w:hAnsi="Arial"/>
          <w:b/>
          <w:sz w:val="22"/>
          <w:szCs w:val="22"/>
        </w:rPr>
        <w:t>Sesión 1</w:t>
      </w:r>
      <w:r>
        <w:rPr>
          <w:rFonts w:cs="Arial" w:ascii="Arial" w:hAnsi="Arial"/>
          <w:bCs/>
          <w:sz w:val="22"/>
          <w:szCs w:val="22"/>
        </w:rPr>
        <w:t>.</w:t>
        <w:tab/>
        <w:t>Conceptos generales sobre Tanatología, Ciencia Espiritualidad, Salud, usos de la  Tanatología Espiritual Humanista, Tanatología de la tradición Indo-Aria, Yoghismo Tanatológico, Tanatología Teándrica, aplicable al Desarrollo Humano y Salud para el  mejoramiento de la calidad de vida.</w:t>
      </w:r>
    </w:p>
    <w:p>
      <w:pPr>
        <w:pStyle w:val="ListParagraph"/>
        <w:numPr>
          <w:ilvl w:val="0"/>
          <w:numId w:val="4"/>
        </w:numPr>
        <w:jc w:val="both"/>
        <w:rPr>
          <w:sz w:val="22"/>
          <w:szCs w:val="22"/>
        </w:rPr>
      </w:pPr>
      <w:r>
        <w:rPr>
          <w:rFonts w:cs="Arial" w:ascii="Arial" w:hAnsi="Arial"/>
          <w:bCs/>
          <w:sz w:val="22"/>
          <w:szCs w:val="22"/>
        </w:rPr>
        <w:t xml:space="preserve">Presentaciones Preliminares. </w:t>
      </w:r>
    </w:p>
    <w:p>
      <w:pPr>
        <w:pStyle w:val="ListParagraph"/>
        <w:numPr>
          <w:ilvl w:val="0"/>
          <w:numId w:val="4"/>
        </w:numPr>
        <w:jc w:val="both"/>
        <w:rPr>
          <w:sz w:val="22"/>
          <w:szCs w:val="22"/>
        </w:rPr>
      </w:pPr>
      <w:r>
        <w:rPr>
          <w:rFonts w:cs="Arial" w:ascii="Arial" w:hAnsi="Arial"/>
          <w:bCs/>
          <w:sz w:val="22"/>
          <w:szCs w:val="22"/>
        </w:rPr>
        <w:t xml:space="preserve">Conceptos de Tanatología. </w:t>
      </w:r>
    </w:p>
    <w:p>
      <w:pPr>
        <w:pStyle w:val="ListParagraph"/>
        <w:numPr>
          <w:ilvl w:val="0"/>
          <w:numId w:val="4"/>
        </w:numPr>
        <w:jc w:val="both"/>
        <w:rPr>
          <w:sz w:val="22"/>
          <w:szCs w:val="22"/>
        </w:rPr>
      </w:pPr>
      <w:r>
        <w:rPr>
          <w:rFonts w:cs="Arial" w:ascii="Arial" w:hAnsi="Arial"/>
          <w:bCs/>
          <w:sz w:val="22"/>
          <w:szCs w:val="22"/>
        </w:rPr>
        <w:t>Conceptos de Ciencia</w:t>
      </w:r>
    </w:p>
    <w:p>
      <w:pPr>
        <w:pStyle w:val="ListParagraph"/>
        <w:numPr>
          <w:ilvl w:val="0"/>
          <w:numId w:val="4"/>
        </w:numPr>
        <w:jc w:val="both"/>
        <w:rPr>
          <w:sz w:val="22"/>
          <w:szCs w:val="22"/>
        </w:rPr>
      </w:pPr>
      <w:r>
        <w:rPr>
          <w:rFonts w:cs="Arial" w:ascii="Arial" w:hAnsi="Arial"/>
          <w:bCs/>
          <w:sz w:val="22"/>
          <w:szCs w:val="22"/>
        </w:rPr>
        <w:t>Conceptos de Espiritualidad.</w:t>
      </w:r>
    </w:p>
    <w:p>
      <w:pPr>
        <w:pStyle w:val="ListParagraph"/>
        <w:numPr>
          <w:ilvl w:val="0"/>
          <w:numId w:val="4"/>
        </w:numPr>
        <w:jc w:val="both"/>
        <w:rPr>
          <w:sz w:val="22"/>
          <w:szCs w:val="22"/>
        </w:rPr>
      </w:pPr>
      <w:r>
        <w:rPr>
          <w:rFonts w:cs="Arial" w:ascii="Arial" w:hAnsi="Arial"/>
          <w:bCs/>
          <w:sz w:val="22"/>
          <w:szCs w:val="22"/>
        </w:rPr>
        <w:t xml:space="preserve">Conceptos de Salud. </w:t>
      </w:r>
    </w:p>
    <w:p>
      <w:pPr>
        <w:pStyle w:val="ListParagraph"/>
        <w:numPr>
          <w:ilvl w:val="0"/>
          <w:numId w:val="4"/>
        </w:numPr>
        <w:jc w:val="both"/>
        <w:rPr>
          <w:sz w:val="22"/>
          <w:szCs w:val="22"/>
        </w:rPr>
      </w:pPr>
      <w:r>
        <w:rPr>
          <w:rFonts w:cs="Arial" w:ascii="Arial" w:hAnsi="Arial"/>
          <w:bCs/>
          <w:sz w:val="22"/>
          <w:szCs w:val="22"/>
        </w:rPr>
        <w:t xml:space="preserve">Concepto de Enfermedad. </w:t>
      </w:r>
    </w:p>
    <w:p>
      <w:pPr>
        <w:pStyle w:val="ListParagraph"/>
        <w:numPr>
          <w:ilvl w:val="0"/>
          <w:numId w:val="4"/>
        </w:numPr>
        <w:jc w:val="both"/>
        <w:rPr>
          <w:sz w:val="22"/>
          <w:szCs w:val="22"/>
        </w:rPr>
      </w:pPr>
      <w:r>
        <w:rPr>
          <w:rFonts w:cs="Arial" w:ascii="Arial" w:hAnsi="Arial"/>
          <w:bCs/>
          <w:sz w:val="22"/>
          <w:szCs w:val="22"/>
        </w:rPr>
        <w:t>Concepto de Calidad de Vida.</w:t>
      </w:r>
    </w:p>
    <w:p>
      <w:pPr>
        <w:pStyle w:val="ListParagraph"/>
        <w:numPr>
          <w:ilvl w:val="0"/>
          <w:numId w:val="4"/>
        </w:numPr>
        <w:jc w:val="both"/>
        <w:rPr>
          <w:sz w:val="22"/>
          <w:szCs w:val="22"/>
        </w:rPr>
      </w:pPr>
      <w:r>
        <w:rPr>
          <w:rFonts w:cs="Arial" w:ascii="Arial" w:hAnsi="Arial"/>
          <w:bCs/>
          <w:sz w:val="22"/>
          <w:szCs w:val="22"/>
        </w:rPr>
        <w:t>Conceptos de Tanatología Espiritual Humanista.</w:t>
      </w:r>
    </w:p>
    <w:p>
      <w:pPr>
        <w:pStyle w:val="ListParagraph"/>
        <w:numPr>
          <w:ilvl w:val="0"/>
          <w:numId w:val="4"/>
        </w:numPr>
        <w:jc w:val="both"/>
        <w:rPr>
          <w:sz w:val="22"/>
          <w:szCs w:val="22"/>
        </w:rPr>
      </w:pPr>
      <w:r>
        <w:rPr>
          <w:rFonts w:cs="Arial" w:ascii="Arial" w:hAnsi="Arial"/>
          <w:bCs/>
          <w:sz w:val="22"/>
          <w:szCs w:val="22"/>
        </w:rPr>
        <w:t>Conceptos de Tanatología de la Tradición Oriental.</w:t>
      </w:r>
    </w:p>
    <w:p>
      <w:pPr>
        <w:pStyle w:val="ListParagraph"/>
        <w:numPr>
          <w:ilvl w:val="0"/>
          <w:numId w:val="4"/>
        </w:numPr>
        <w:jc w:val="both"/>
        <w:rPr>
          <w:sz w:val="22"/>
          <w:szCs w:val="22"/>
        </w:rPr>
      </w:pPr>
      <w:r>
        <w:rPr>
          <w:rFonts w:cs="Arial" w:ascii="Arial" w:hAnsi="Arial"/>
          <w:bCs/>
          <w:sz w:val="22"/>
          <w:szCs w:val="22"/>
        </w:rPr>
        <w:t xml:space="preserve">Concepto de Yoghismo Tanatológico. </w:t>
      </w:r>
    </w:p>
    <w:p>
      <w:pPr>
        <w:pStyle w:val="ListParagraph"/>
        <w:numPr>
          <w:ilvl w:val="0"/>
          <w:numId w:val="5"/>
        </w:numPr>
        <w:jc w:val="both"/>
        <w:rPr>
          <w:sz w:val="22"/>
          <w:szCs w:val="22"/>
        </w:rPr>
      </w:pPr>
      <w:r>
        <w:rPr>
          <w:rFonts w:cs="Arial" w:ascii="Arial" w:hAnsi="Arial"/>
          <w:bCs/>
          <w:sz w:val="22"/>
          <w:szCs w:val="22"/>
        </w:rPr>
        <w:t xml:space="preserve">Aplicación práctica de la Tanatología. </w:t>
      </w:r>
    </w:p>
    <w:p>
      <w:pPr>
        <w:pStyle w:val="ListParagraph"/>
        <w:numPr>
          <w:ilvl w:val="0"/>
          <w:numId w:val="5"/>
        </w:numPr>
        <w:jc w:val="both"/>
        <w:rPr>
          <w:sz w:val="22"/>
          <w:szCs w:val="22"/>
        </w:rPr>
      </w:pPr>
      <w:r>
        <w:rPr>
          <w:rFonts w:cs="Arial" w:ascii="Arial" w:hAnsi="Arial"/>
          <w:bCs/>
          <w:sz w:val="22"/>
          <w:szCs w:val="22"/>
        </w:rPr>
        <w:t xml:space="preserve">Tanatología Teándrica. </w:t>
      </w:r>
    </w:p>
    <w:p>
      <w:pPr>
        <w:pStyle w:val="ListParagraph"/>
        <w:numPr>
          <w:ilvl w:val="0"/>
          <w:numId w:val="5"/>
        </w:numPr>
        <w:jc w:val="both"/>
        <w:rPr>
          <w:sz w:val="22"/>
          <w:szCs w:val="22"/>
        </w:rPr>
      </w:pPr>
      <w:r>
        <w:rPr>
          <w:rFonts w:cs="Arial" w:ascii="Arial" w:hAnsi="Arial"/>
          <w:bCs/>
          <w:sz w:val="22"/>
          <w:szCs w:val="22"/>
        </w:rPr>
        <w:t xml:space="preserve">Elementos para evaluar la calidad de vida. </w:t>
      </w:r>
    </w:p>
    <w:p>
      <w:pPr>
        <w:pStyle w:val="Normal"/>
        <w:jc w:val="both"/>
        <w:rPr>
          <w:sz w:val="22"/>
          <w:szCs w:val="22"/>
        </w:rPr>
      </w:pPr>
      <w:r>
        <w:rPr>
          <w:rFonts w:cs="Arial" w:ascii="Arial" w:hAnsi="Arial"/>
          <w:b/>
          <w:sz w:val="22"/>
          <w:szCs w:val="22"/>
        </w:rPr>
        <w:t>Sesión 1. (asincrónica)</w:t>
      </w:r>
      <w:r>
        <w:rPr>
          <w:rFonts w:cs="Arial" w:ascii="Arial" w:hAnsi="Arial"/>
          <w:bCs/>
          <w:sz w:val="22"/>
          <w:szCs w:val="22"/>
        </w:rPr>
        <w:tab/>
      </w:r>
    </w:p>
    <w:p>
      <w:pPr>
        <w:pStyle w:val="Normal"/>
        <w:jc w:val="both"/>
        <w:rPr>
          <w:sz w:val="22"/>
          <w:szCs w:val="22"/>
        </w:rPr>
      </w:pPr>
      <w:r>
        <w:rPr>
          <w:rFonts w:cs="Arial" w:ascii="Arial" w:hAnsi="Arial"/>
          <w:bCs/>
          <w:sz w:val="22"/>
          <w:szCs w:val="22"/>
        </w:rPr>
        <w:t>¿Qué es la Tanatología?</w:t>
      </w:r>
    </w:p>
    <w:p>
      <w:pPr>
        <w:pStyle w:val="ListParagraph"/>
        <w:numPr>
          <w:ilvl w:val="0"/>
          <w:numId w:val="6"/>
        </w:numPr>
        <w:jc w:val="both"/>
        <w:rPr>
          <w:sz w:val="22"/>
          <w:szCs w:val="22"/>
        </w:rPr>
      </w:pPr>
      <w:r>
        <w:rPr>
          <w:rFonts w:cs="Arial" w:ascii="Arial" w:hAnsi="Arial"/>
          <w:bCs/>
          <w:sz w:val="22"/>
          <w:szCs w:val="22"/>
        </w:rPr>
        <w:t xml:space="preserve">Marco Teórico de la Tanatología, la  Espiritualidad y su relación con la Ciencia.  </w:t>
      </w:r>
    </w:p>
    <w:p>
      <w:pPr>
        <w:pStyle w:val="ListParagraph"/>
        <w:numPr>
          <w:ilvl w:val="0"/>
          <w:numId w:val="6"/>
        </w:numPr>
        <w:jc w:val="both"/>
        <w:rPr>
          <w:sz w:val="22"/>
          <w:szCs w:val="22"/>
        </w:rPr>
      </w:pPr>
      <w:r>
        <w:rPr>
          <w:rFonts w:cs="Arial" w:ascii="Arial" w:hAnsi="Arial"/>
          <w:bCs/>
          <w:sz w:val="22"/>
          <w:szCs w:val="22"/>
        </w:rPr>
        <w:t>Aplicaciones de la espiritualidad en el desarrollo humano y la salud mental para atender el duelo y la pérdida.</w:t>
      </w:r>
    </w:p>
    <w:p>
      <w:pPr>
        <w:pStyle w:val="ListParagraph"/>
        <w:jc w:val="both"/>
        <w:rPr>
          <w:rFonts w:ascii="Arial" w:hAnsi="Arial" w:cs="Arial"/>
          <w:bCs/>
          <w:sz w:val="24"/>
          <w:szCs w:val="24"/>
        </w:rPr>
      </w:pPr>
      <w:r>
        <w:rPr>
          <w:rFonts w:cs="Arial" w:ascii="Arial" w:hAnsi="Arial"/>
          <w:bCs/>
          <w:sz w:val="24"/>
          <w:szCs w:val="24"/>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drawing>
          <wp:anchor behindDoc="0" distT="0" distB="0" distL="0" distR="0" simplePos="0" locked="0" layoutInCell="0" allowOverlap="1" relativeHeight="17">
            <wp:simplePos x="0" y="0"/>
            <wp:positionH relativeFrom="column">
              <wp:posOffset>4781550</wp:posOffset>
            </wp:positionH>
            <wp:positionV relativeFrom="paragraph">
              <wp:posOffset>-778510</wp:posOffset>
            </wp:positionV>
            <wp:extent cx="785495" cy="786130"/>
            <wp:effectExtent l="0" t="0" r="0" b="0"/>
            <wp:wrapSquare wrapText="largest"/>
            <wp:docPr id="15" name="Imagen1 Copia 2 Copia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1 Copia 2 Copia 12" descr=""/>
                    <pic:cNvPicPr>
                      <a:picLocks noChangeAspect="1" noChangeArrowheads="1"/>
                    </pic:cNvPicPr>
                  </pic:nvPicPr>
                  <pic:blipFill>
                    <a:blip r:embed="rId17"/>
                    <a:stretch>
                      <a:fillRect/>
                    </a:stretch>
                  </pic:blipFill>
                  <pic:spPr bwMode="auto">
                    <a:xfrm>
                      <a:off x="0" y="0"/>
                      <a:ext cx="785495" cy="786130"/>
                    </a:xfrm>
                    <a:prstGeom prst="rect">
                      <a:avLst/>
                    </a:prstGeom>
                  </pic:spPr>
                </pic:pic>
              </a:graphicData>
            </a:graphic>
          </wp:anchor>
        </w:drawing>
      </w:r>
    </w:p>
    <w:p>
      <w:pPr>
        <w:pStyle w:val="Normal"/>
        <w:jc w:val="both"/>
        <w:rPr>
          <w:rFonts w:ascii="Arial" w:hAnsi="Arial" w:eastAsia="Times New Roman" w:cs="Times New Roman"/>
          <w:b/>
          <w:bCs/>
          <w:sz w:val="24"/>
          <w:szCs w:val="24"/>
          <w:lang w:val="es-ES" w:eastAsia="es-ES"/>
        </w:rPr>
      </w:pPr>
      <w:r>
        <w:rPr>
          <w:rFonts w:eastAsia="Times New Roman" w:cs="Times New Roman" w:ascii="Arial" w:hAnsi="Arial"/>
          <w:b/>
          <w:bCs/>
          <w:sz w:val="24"/>
          <w:szCs w:val="24"/>
          <w:lang w:val="es-ES" w:eastAsia="es-ES"/>
        </w:rPr>
      </w:r>
    </w:p>
    <w:p>
      <w:pPr>
        <w:pStyle w:val="Normal"/>
        <w:jc w:val="both"/>
        <w:rPr>
          <w:sz w:val="22"/>
          <w:szCs w:val="22"/>
        </w:rPr>
      </w:pPr>
      <w:r>
        <w:rPr>
          <w:rFonts w:eastAsia="Times New Roman" w:cs="Times New Roman" w:ascii="Arial" w:hAnsi="Arial"/>
          <w:b/>
          <w:bCs/>
          <w:sz w:val="22"/>
          <w:szCs w:val="22"/>
          <w:lang w:val="es-ES" w:eastAsia="es-ES"/>
        </w:rPr>
        <w:t>11. Lecturas Preparatorias y para actividades del mes de marzo 2026.</w:t>
      </w:r>
    </w:p>
    <w:p>
      <w:pPr>
        <w:pStyle w:val="Normal"/>
        <w:jc w:val="both"/>
        <w:rPr>
          <w:sz w:val="22"/>
          <w:szCs w:val="22"/>
        </w:rPr>
      </w:pPr>
      <w:r>
        <w:rPr>
          <w:sz w:val="22"/>
          <w:szCs w:val="22"/>
        </w:rPr>
      </w:r>
    </w:p>
    <w:p>
      <w:pPr>
        <w:pStyle w:val="Normal"/>
        <w:jc w:val="both"/>
        <w:rPr>
          <w:sz w:val="22"/>
          <w:szCs w:val="22"/>
        </w:rPr>
      </w:pPr>
      <w:r>
        <w:rPr>
          <w:rFonts w:eastAsia="Times New Roman" w:cs="Times New Roman" w:ascii="Arial" w:hAnsi="Arial"/>
          <w:b w:val="false"/>
          <w:bCs w:val="false"/>
          <w:sz w:val="22"/>
          <w:szCs w:val="22"/>
          <w:lang w:val="es-ES" w:eastAsia="es-ES"/>
        </w:rPr>
        <w:t>1. Desarrollo de la Tanatología: estudios sobre la muerte y el morir (María Julia Kovacks, Paideia, 2008, 457-468).</w:t>
      </w:r>
    </w:p>
    <w:p>
      <w:pPr>
        <w:pStyle w:val="Normal"/>
        <w:jc w:val="both"/>
        <w:rPr>
          <w:sz w:val="22"/>
          <w:szCs w:val="22"/>
        </w:rPr>
      </w:pPr>
      <w:r>
        <w:rPr>
          <w:rFonts w:eastAsia="Times New Roman" w:cs="Times New Roman" w:ascii="Arial" w:hAnsi="Arial"/>
          <w:b w:val="false"/>
          <w:bCs w:val="false"/>
          <w:sz w:val="22"/>
          <w:szCs w:val="22"/>
          <w:lang w:val="es-ES" w:eastAsia="es-ES"/>
        </w:rPr>
        <w:t>2. El Viaje Definitivo, (Stanislav Grof, 2006, pp. 15-23)</w:t>
      </w:r>
    </w:p>
    <w:p>
      <w:pPr>
        <w:pStyle w:val="Normal"/>
        <w:jc w:val="both"/>
        <w:rPr>
          <w:sz w:val="22"/>
          <w:szCs w:val="22"/>
        </w:rPr>
      </w:pPr>
      <w:r>
        <w:rPr>
          <w:rFonts w:eastAsia="Times New Roman" w:cs="Times New Roman" w:ascii="Arial" w:hAnsi="Arial"/>
          <w:b w:val="false"/>
          <w:bCs w:val="false"/>
          <w:sz w:val="22"/>
          <w:szCs w:val="22"/>
          <w:lang w:val="es-ES" w:eastAsia="es-ES"/>
        </w:rPr>
        <w:t xml:space="preserve">3. Espiritualidad Integral, (Ken, Wilber, 2006, pp.15-145; 339-357).  </w:t>
      </w:r>
    </w:p>
    <w:p>
      <w:pPr>
        <w:pStyle w:val="Normal"/>
        <w:jc w:val="both"/>
        <w:rPr>
          <w:sz w:val="22"/>
          <w:szCs w:val="22"/>
        </w:rPr>
      </w:pPr>
      <w:r>
        <w:rPr>
          <w:rFonts w:eastAsia="Times New Roman" w:cs="Times New Roman" w:ascii="Arial" w:hAnsi="Arial"/>
          <w:b w:val="false"/>
          <w:bCs w:val="false"/>
          <w:sz w:val="22"/>
          <w:szCs w:val="22"/>
          <w:lang w:val="es-ES" w:eastAsia="es-ES"/>
        </w:rPr>
        <w:t>4. Espiritualidad y salud, (Carmen Navas, 2007, saberes compartidos, pp. 34-42).</w:t>
      </w:r>
    </w:p>
    <w:p>
      <w:pPr>
        <w:pStyle w:val="Normal"/>
        <w:jc w:val="both"/>
        <w:rPr>
          <w:sz w:val="22"/>
          <w:szCs w:val="22"/>
        </w:rPr>
      </w:pPr>
      <w:r>
        <w:rPr>
          <w:rFonts w:eastAsia="Times New Roman" w:cs="Times New Roman" w:ascii="Arial" w:hAnsi="Arial"/>
          <w:b w:val="false"/>
          <w:bCs w:val="false"/>
          <w:sz w:val="22"/>
          <w:szCs w:val="22"/>
          <w:lang w:val="es-ES" w:eastAsia="es-ES"/>
        </w:rPr>
        <w:t>5. Una Nueva Ciencia de la Vida (Rupert Sheldrake, 1981, pp.7-183).</w:t>
      </w:r>
    </w:p>
    <w:p>
      <w:pPr>
        <w:pStyle w:val="Normal"/>
        <w:jc w:val="both"/>
        <w:rPr>
          <w:rFonts w:ascii="Arial" w:hAnsi="Arial" w:cs="Arial"/>
          <w:b/>
          <w:sz w:val="22"/>
          <w:szCs w:val="22"/>
        </w:rPr>
      </w:pPr>
      <w:r>
        <w:rPr>
          <w:rFonts w:cs="Arial" w:ascii="Arial" w:hAnsi="Arial"/>
          <w:b/>
          <w:sz w:val="22"/>
          <w:szCs w:val="22"/>
        </w:rPr>
      </w:r>
    </w:p>
    <w:p>
      <w:pPr>
        <w:pStyle w:val="Normal"/>
        <w:spacing w:lineRule="auto" w:line="240" w:before="0" w:after="0"/>
        <w:jc w:val="right"/>
        <w:rPr>
          <w:sz w:val="22"/>
          <w:szCs w:val="22"/>
        </w:rPr>
      </w:pPr>
      <w:r>
        <w:rPr>
          <w:rFonts w:eastAsia="Times New Roman" w:cs="Times New Roman" w:ascii="Arial" w:hAnsi="Arial"/>
          <w:b/>
          <w:bCs/>
          <w:sz w:val="22"/>
          <w:szCs w:val="22"/>
          <w:lang w:val="es-ES" w:eastAsia="es-ES"/>
        </w:rPr>
        <w:t xml:space="preserve">Dr. Marco Antonio López Galicia. </w:t>
      </w:r>
    </w:p>
    <w:p>
      <w:pPr>
        <w:pStyle w:val="Normal"/>
        <w:spacing w:lineRule="auto" w:line="240" w:before="0" w:after="0"/>
        <w:jc w:val="right"/>
        <w:rPr>
          <w:sz w:val="22"/>
          <w:szCs w:val="22"/>
        </w:rPr>
      </w:pPr>
      <w:r>
        <w:rPr>
          <w:rFonts w:eastAsia="Times New Roman" w:cs="Times New Roman" w:ascii="Arial" w:hAnsi="Arial"/>
          <w:b/>
          <w:bCs/>
          <w:sz w:val="22"/>
          <w:szCs w:val="22"/>
          <w:lang w:val="es-ES" w:eastAsia="es-ES"/>
        </w:rPr>
        <w:t>Centro de Tanatología Atman Dhyana.</w:t>
      </w:r>
    </w:p>
    <w:p>
      <w:pPr>
        <w:pStyle w:val="Normal"/>
        <w:spacing w:lineRule="auto" w:line="240" w:before="0" w:after="0"/>
        <w:jc w:val="right"/>
        <w:rPr>
          <w:sz w:val="22"/>
          <w:szCs w:val="22"/>
        </w:rPr>
      </w:pPr>
      <w:r>
        <w:rPr>
          <w:rFonts w:eastAsia="Times New Roman" w:cs="Times New Roman" w:ascii="Arial" w:hAnsi="Arial"/>
          <w:b/>
          <w:bCs/>
          <w:sz w:val="22"/>
          <w:szCs w:val="22"/>
          <w:lang w:val="es-ES" w:eastAsia="es-ES"/>
        </w:rPr>
        <w:t>Ciudad de México a 21 de marzo de 2026.</w:t>
      </w:r>
    </w:p>
    <w:p>
      <w:pPr>
        <w:pStyle w:val="Normal"/>
        <w:spacing w:lineRule="auto" w:line="240" w:before="0" w:after="0"/>
        <w:jc w:val="right"/>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jc w:val="right"/>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jc w:val="right"/>
        <w:rPr>
          <w:sz w:val="22"/>
          <w:szCs w:val="22"/>
        </w:rPr>
      </w:pPr>
      <w:r>
        <w:rPr>
          <w:rFonts w:eastAsia="Times New Roman" w:cs="Times New Roman" w:ascii="Arial" w:hAnsi="Arial"/>
          <w:b/>
          <w:bCs/>
          <w:sz w:val="22"/>
          <w:szCs w:val="22"/>
          <w:lang w:val="es-ES" w:eastAsia="es-ES"/>
        </w:rPr>
        <w:t>______________________</w:t>
      </w:r>
    </w:p>
    <w:p>
      <w:pPr>
        <w:pStyle w:val="Normal"/>
        <w:spacing w:lineRule="auto" w:line="240" w:before="0" w:after="0"/>
        <w:jc w:val="right"/>
        <w:rPr>
          <w:sz w:val="22"/>
          <w:szCs w:val="22"/>
        </w:rPr>
      </w:pPr>
      <w:r>
        <w:rPr>
          <w:rFonts w:eastAsia="Times New Roman" w:cs="Times New Roman" w:ascii="Arial" w:hAnsi="Arial"/>
          <w:b/>
          <w:bCs/>
          <w:sz w:val="22"/>
          <w:szCs w:val="22"/>
          <w:lang w:val="es-ES" w:eastAsia="es-ES"/>
        </w:rPr>
        <w:t>FIRMA DEL INSTRUCTOR</w:t>
      </w:r>
    </w:p>
    <w:p>
      <w:pPr>
        <w:pStyle w:val="Normal"/>
        <w:spacing w:lineRule="auto" w:line="240" w:before="0" w:after="0"/>
        <w:rPr>
          <w:rFonts w:ascii="Arial" w:hAnsi="Arial" w:eastAsia="Times New Roman" w:cs="Times New Roman"/>
          <w:b/>
          <w:bCs/>
          <w:sz w:val="22"/>
          <w:szCs w:val="22"/>
          <w:lang w:val="es-ES" w:eastAsia="es-ES"/>
        </w:rPr>
      </w:pPr>
      <w:r>
        <w:rPr>
          <w:rFonts w:eastAsia="Times New Roman" w:cs="Times New Roman" w:ascii="Arial" w:hAnsi="Arial"/>
          <w:b/>
          <w:bCs/>
          <w:sz w:val="22"/>
          <w:szCs w:val="22"/>
          <w:lang w:val="es-ES" w:eastAsia="es-ES"/>
        </w:rPr>
      </w:r>
    </w:p>
    <w:p>
      <w:pPr>
        <w:pStyle w:val="Normal"/>
        <w:spacing w:lineRule="auto" w:line="240" w:before="0" w:after="0"/>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rFonts w:ascii="Arial" w:hAnsi="Arial" w:cs="Arial"/>
          <w:b/>
          <w:sz w:val="24"/>
          <w:szCs w:val="24"/>
        </w:rPr>
      </w:pPr>
      <w:r>
        <w:rPr>
          <w:rFonts w:cs="Arial" w:ascii="Arial" w:hAnsi="Arial"/>
          <w:b/>
          <w:sz w:val="24"/>
          <w:szCs w:val="24"/>
        </w:rPr>
        <w:drawing>
          <wp:anchor behindDoc="0" distT="0" distB="0" distL="0" distR="0" simplePos="0" locked="0" layoutInCell="0" allowOverlap="1" relativeHeight="18">
            <wp:simplePos x="0" y="0"/>
            <wp:positionH relativeFrom="column">
              <wp:posOffset>4781550</wp:posOffset>
            </wp:positionH>
            <wp:positionV relativeFrom="paragraph">
              <wp:posOffset>-855345</wp:posOffset>
            </wp:positionV>
            <wp:extent cx="785495" cy="786130"/>
            <wp:effectExtent l="0" t="0" r="0" b="0"/>
            <wp:wrapSquare wrapText="largest"/>
            <wp:docPr id="16" name="Imagen1 Copia 2 Copia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1 Copia 2 Copia 13" descr=""/>
                    <pic:cNvPicPr>
                      <a:picLocks noChangeAspect="1" noChangeArrowheads="1"/>
                    </pic:cNvPicPr>
                  </pic:nvPicPr>
                  <pic:blipFill>
                    <a:blip r:embed="rId18"/>
                    <a:stretch>
                      <a:fillRect/>
                    </a:stretch>
                  </pic:blipFill>
                  <pic:spPr bwMode="auto">
                    <a:xfrm>
                      <a:off x="0" y="0"/>
                      <a:ext cx="785495" cy="786130"/>
                    </a:xfrm>
                    <a:prstGeom prst="rect">
                      <a:avLst/>
                    </a:prstGeom>
                  </pic:spPr>
                </pic:pic>
              </a:graphicData>
            </a:graphic>
          </wp:anchor>
        </w:drawing>
      </w:r>
    </w:p>
    <w:p>
      <w:pPr>
        <w:pStyle w:val="Normal"/>
        <w:spacing w:lineRule="auto" w:line="240" w:before="0" w:after="0"/>
        <w:jc w:val="both"/>
        <w:rPr>
          <w:rFonts w:ascii="Arial" w:hAnsi="Arial" w:cs="Arial"/>
          <w:b/>
          <w:sz w:val="24"/>
          <w:szCs w:val="24"/>
        </w:rPr>
      </w:pPr>
      <w:r>
        <w:rPr>
          <w:rFonts w:cs="Arial" w:ascii="Arial" w:hAnsi="Arial"/>
          <w:b/>
          <w:sz w:val="24"/>
          <w:szCs w:val="24"/>
        </w:rPr>
      </w:r>
    </w:p>
    <w:p>
      <w:pPr>
        <w:pStyle w:val="Normal"/>
        <w:spacing w:lineRule="auto" w:line="240" w:before="0" w:after="0"/>
        <w:jc w:val="both"/>
        <w:rPr>
          <w:sz w:val="22"/>
          <w:szCs w:val="22"/>
        </w:rPr>
      </w:pPr>
      <w:r>
        <w:rPr>
          <w:rFonts w:cs="Arial" w:ascii="Arial" w:hAnsi="Arial"/>
          <w:b/>
          <w:sz w:val="22"/>
          <w:szCs w:val="22"/>
        </w:rPr>
        <w:t>Fuentes de Información.</w:t>
      </w:r>
    </w:p>
    <w:p>
      <w:pPr>
        <w:pStyle w:val="Normal"/>
        <w:spacing w:lineRule="auto" w:line="240" w:before="0" w:after="0"/>
        <w:jc w:val="both"/>
        <w:rPr>
          <w:rFonts w:ascii="Arial" w:hAnsi="Arial" w:cs="Arial"/>
          <w:sz w:val="22"/>
          <w:szCs w:val="22"/>
        </w:rPr>
      </w:pPr>
      <w:r>
        <w:rPr>
          <w:rFonts w:cs="Arial" w:ascii="Arial" w:hAnsi="Arial"/>
          <w:sz w:val="22"/>
          <w:szCs w:val="22"/>
        </w:rPr>
      </w:r>
    </w:p>
    <w:p>
      <w:pPr>
        <w:pStyle w:val="FootnoteText"/>
        <w:jc w:val="both"/>
        <w:rPr>
          <w:rFonts w:ascii="Arial" w:hAnsi="Arial" w:cs="Arial"/>
          <w:sz w:val="22"/>
          <w:szCs w:val="22"/>
        </w:rPr>
      </w:pPr>
      <w:r>
        <w:rPr>
          <w:rFonts w:cs="Arial" w:ascii="Arial" w:hAnsi="Arial"/>
          <w:sz w:val="22"/>
          <w:szCs w:val="22"/>
        </w:rPr>
      </w:r>
    </w:p>
    <w:p>
      <w:pPr>
        <w:pStyle w:val="FootnoteText"/>
        <w:jc w:val="both"/>
        <w:rPr>
          <w:sz w:val="22"/>
          <w:szCs w:val="22"/>
        </w:rPr>
      </w:pPr>
      <w:r>
        <w:rPr>
          <w:rFonts w:cs="Arial" w:ascii="Arial" w:hAnsi="Arial"/>
          <w:sz w:val="22"/>
          <w:szCs w:val="22"/>
        </w:rPr>
        <w:t>1. Grof S. (1988), Psicología Transpersonal, Nacimiento, Muerte  y Trascendencia en Psicoterapia, Barcelona, España.</w:t>
      </w:r>
    </w:p>
    <w:p>
      <w:pPr>
        <w:pStyle w:val="FootnoteText"/>
        <w:jc w:val="both"/>
        <w:rPr>
          <w:rFonts w:ascii="Arial" w:hAnsi="Arial" w:cs="Arial"/>
          <w:sz w:val="22"/>
          <w:szCs w:val="22"/>
        </w:rPr>
      </w:pPr>
      <w:r>
        <w:rPr>
          <w:rFonts w:cs="Arial" w:ascii="Arial" w:hAnsi="Arial"/>
          <w:sz w:val="22"/>
          <w:szCs w:val="22"/>
        </w:rPr>
      </w:r>
    </w:p>
    <w:p>
      <w:pPr>
        <w:pStyle w:val="FootnoteText"/>
        <w:jc w:val="both"/>
        <w:rPr>
          <w:sz w:val="22"/>
          <w:szCs w:val="22"/>
        </w:rPr>
      </w:pPr>
      <w:r>
        <w:rPr>
          <w:rFonts w:cs="Arial" w:ascii="Arial" w:hAnsi="Arial"/>
          <w:sz w:val="22"/>
          <w:szCs w:val="22"/>
        </w:rPr>
        <w:t xml:space="preserve">2. Kübler-Ross E. (2006), La Muerte Un Amanecer, Editorial Luciernaga, 1| Ed., 1974, Madrid, España, pág. 10. </w:t>
      </w:r>
    </w:p>
    <w:p>
      <w:pPr>
        <w:pStyle w:val="FootnoteText"/>
        <w:jc w:val="both"/>
        <w:rPr>
          <w:rFonts w:ascii="Arial" w:hAnsi="Arial" w:cs="Arial"/>
          <w:sz w:val="22"/>
          <w:szCs w:val="22"/>
        </w:rPr>
      </w:pPr>
      <w:r>
        <w:rPr>
          <w:rFonts w:cs="Arial" w:ascii="Arial" w:hAnsi="Arial"/>
          <w:sz w:val="22"/>
          <w:szCs w:val="22"/>
        </w:rPr>
      </w:r>
    </w:p>
    <w:p>
      <w:pPr>
        <w:pStyle w:val="Normal"/>
        <w:spacing w:lineRule="auto" w:line="240" w:before="0" w:after="0"/>
        <w:jc w:val="both"/>
        <w:rPr>
          <w:rFonts w:ascii="Arial" w:hAnsi="Arial" w:cs="Arial"/>
          <w:sz w:val="22"/>
          <w:szCs w:val="22"/>
        </w:rPr>
      </w:pPr>
      <w:r>
        <w:rPr>
          <w:rFonts w:cs="Arial" w:ascii="Arial" w:hAnsi="Arial"/>
          <w:sz w:val="22"/>
          <w:szCs w:val="22"/>
        </w:rPr>
      </w:r>
    </w:p>
    <w:p>
      <w:pPr>
        <w:pStyle w:val="FootnoteText"/>
        <w:jc w:val="both"/>
        <w:rPr>
          <w:sz w:val="22"/>
          <w:szCs w:val="22"/>
        </w:rPr>
      </w:pPr>
      <w:r>
        <w:rPr>
          <w:rFonts w:cs="Arial" w:ascii="Arial" w:hAnsi="Arial"/>
          <w:sz w:val="22"/>
          <w:szCs w:val="22"/>
        </w:rPr>
        <w:t xml:space="preserve">3. Ospina Correa L. (2009), Directorio de Psicología Transpersonal, Universidad de Manizalez, Chipre, p. 4 </w:t>
      </w:r>
    </w:p>
    <w:p>
      <w:pPr>
        <w:pStyle w:val="FootnoteText"/>
        <w:jc w:val="both"/>
        <w:rPr>
          <w:rFonts w:ascii="Arial" w:hAnsi="Arial" w:cs="Arial"/>
          <w:sz w:val="22"/>
          <w:szCs w:val="22"/>
        </w:rPr>
      </w:pPr>
      <w:r>
        <w:rPr>
          <w:rFonts w:cs="Arial" w:ascii="Arial" w:hAnsi="Arial"/>
          <w:sz w:val="22"/>
          <w:szCs w:val="22"/>
        </w:rPr>
      </w:r>
    </w:p>
    <w:p>
      <w:pPr>
        <w:pStyle w:val="FootnoteText"/>
        <w:jc w:val="both"/>
        <w:rPr>
          <w:sz w:val="22"/>
          <w:szCs w:val="22"/>
        </w:rPr>
      </w:pPr>
      <w:r>
        <w:rPr>
          <w:rFonts w:cs="Arial" w:ascii="Arial" w:hAnsi="Arial"/>
          <w:sz w:val="22"/>
          <w:szCs w:val="22"/>
        </w:rPr>
        <w:t xml:space="preserve">4. Peñacoba Maestre D. (2011), La Meditación Trascendental en el Arte de Morir, México, pág. 4. </w:t>
      </w:r>
    </w:p>
    <w:p>
      <w:pPr>
        <w:pStyle w:val="Normal"/>
        <w:spacing w:lineRule="auto" w:line="240" w:before="0" w:after="0"/>
        <w:jc w:val="both"/>
        <w:rPr>
          <w:rFonts w:ascii="Arial" w:hAnsi="Arial" w:cs="Arial"/>
          <w:sz w:val="22"/>
          <w:szCs w:val="22"/>
        </w:rPr>
      </w:pPr>
      <w:r>
        <w:rPr>
          <w:rFonts w:cs="Arial" w:ascii="Arial" w:hAnsi="Arial"/>
          <w:sz w:val="22"/>
          <w:szCs w:val="22"/>
        </w:rPr>
      </w:r>
    </w:p>
    <w:p>
      <w:pPr>
        <w:pStyle w:val="Normal"/>
        <w:spacing w:lineRule="auto" w:line="240" w:before="0" w:after="0"/>
        <w:jc w:val="both"/>
        <w:rPr>
          <w:sz w:val="22"/>
          <w:szCs w:val="22"/>
        </w:rPr>
      </w:pPr>
      <w:r>
        <w:rPr>
          <w:rFonts w:cs="Arial" w:ascii="Arial" w:hAnsi="Arial"/>
          <w:sz w:val="22"/>
          <w:szCs w:val="22"/>
        </w:rPr>
        <w:t>5. Polo Scott M. Susana (2014). La Psicología Transpersonal una Experiencia Tanatológica Integral”, Tesis para obtener el grado de Doctora en Tanatología, Instituto Mexicano de Psicooncología, México, Abril, pág. 258.</w:t>
      </w:r>
    </w:p>
    <w:p>
      <w:pPr>
        <w:pStyle w:val="Normal"/>
        <w:spacing w:lineRule="auto" w:line="240" w:before="0" w:after="0"/>
        <w:jc w:val="both"/>
        <w:rPr>
          <w:rFonts w:ascii="Arial" w:hAnsi="Arial" w:cs="Arial"/>
          <w:sz w:val="22"/>
          <w:szCs w:val="22"/>
        </w:rPr>
      </w:pPr>
      <w:r>
        <w:rPr>
          <w:rFonts w:cs="Arial" w:ascii="Arial" w:hAnsi="Arial"/>
          <w:sz w:val="22"/>
          <w:szCs w:val="22"/>
        </w:rPr>
      </w:r>
    </w:p>
    <w:p>
      <w:pPr>
        <w:pStyle w:val="Normal"/>
        <w:spacing w:lineRule="auto" w:line="240" w:before="0" w:after="0"/>
        <w:jc w:val="both"/>
        <w:rPr>
          <w:sz w:val="22"/>
          <w:szCs w:val="22"/>
        </w:rPr>
      </w:pPr>
      <w:r>
        <w:rPr>
          <w:rFonts w:cs="Arial" w:ascii="Arial" w:hAnsi="Arial"/>
          <w:sz w:val="22"/>
          <w:szCs w:val="22"/>
        </w:rPr>
        <w:t xml:space="preserve">6. Suttich, A.J. (1969), Some Considerations Regarding Transpersonal Psychology. The Journal of Transpersonal Psycology, 1. (númber 1), pp. 11-20. </w:t>
      </w:r>
    </w:p>
    <w:p>
      <w:pPr>
        <w:pStyle w:val="FootnoteText"/>
        <w:jc w:val="both"/>
        <w:rPr>
          <w:rFonts w:ascii="Arial" w:hAnsi="Arial" w:cs="Arial"/>
          <w:sz w:val="22"/>
          <w:szCs w:val="22"/>
        </w:rPr>
      </w:pPr>
      <w:r>
        <w:rPr>
          <w:rFonts w:cs="Arial" w:ascii="Arial" w:hAnsi="Arial"/>
          <w:sz w:val="22"/>
          <w:szCs w:val="22"/>
        </w:rPr>
      </w:r>
    </w:p>
    <w:p>
      <w:pPr>
        <w:pStyle w:val="FootnoteText"/>
        <w:jc w:val="both"/>
        <w:rPr>
          <w:sz w:val="22"/>
          <w:szCs w:val="22"/>
        </w:rPr>
      </w:pPr>
      <w:r>
        <w:rPr>
          <w:rFonts w:cs="Arial" w:ascii="Arial" w:hAnsi="Arial"/>
          <w:sz w:val="22"/>
          <w:szCs w:val="22"/>
        </w:rPr>
        <w:t xml:space="preserve">7. Vilariño Pintos E.(1996), Psicología Transpersonal, Conciencia y Meditación, Coedición Universidad Iberoamericana y Plaza &amp; Valdés S.A. de C.V., Ciudad de México, México, pág. 18. </w:t>
      </w:r>
    </w:p>
    <w:p>
      <w:pPr>
        <w:pStyle w:val="Normal"/>
        <w:spacing w:lineRule="auto" w:line="240" w:before="0" w:after="0"/>
        <w:jc w:val="both"/>
        <w:rPr>
          <w:rFonts w:ascii="Arial" w:hAnsi="Arial" w:cs="Arial"/>
          <w:sz w:val="22"/>
          <w:szCs w:val="22"/>
        </w:rPr>
      </w:pPr>
      <w:r>
        <w:rPr>
          <w:rFonts w:cs="Arial" w:ascii="Arial" w:hAnsi="Arial"/>
          <w:sz w:val="22"/>
          <w:szCs w:val="22"/>
        </w:rPr>
      </w:r>
    </w:p>
    <w:p>
      <w:pPr>
        <w:pStyle w:val="Normal"/>
        <w:spacing w:lineRule="auto" w:line="240" w:before="0" w:after="0"/>
        <w:jc w:val="both"/>
        <w:rPr>
          <w:sz w:val="22"/>
          <w:szCs w:val="22"/>
        </w:rPr>
      </w:pPr>
      <w:r>
        <w:rPr>
          <w:rFonts w:cs="Arial" w:ascii="Arial" w:hAnsi="Arial"/>
          <w:sz w:val="22"/>
          <w:szCs w:val="22"/>
        </w:rPr>
        <w:t>8. López Galicia M. Antonio, (2016), Aplicación del yoga en la intervención del duelo: Propuesta de un yoghismo tanatológico para comprender la ecuación dolor-existencia, como terapéutica para el estado de bienestar, Instituto Mexicano de Psicooncología, Tesis de Doctorado para obtener el grado de Doctor en Tanatología.</w:t>
      </w:r>
    </w:p>
    <w:p>
      <w:pPr>
        <w:pStyle w:val="Normal"/>
        <w:spacing w:lineRule="auto" w:line="240" w:before="0" w:after="0"/>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rPr>
          <w:rFonts w:ascii="Arial" w:hAnsi="Arial" w:eastAsia="Times New Roman" w:cs="Times New Roman"/>
          <w:sz w:val="22"/>
          <w:szCs w:val="22"/>
          <w:lang w:val="es-ES" w:eastAsia="es-ES"/>
        </w:rPr>
      </w:pPr>
      <w:r>
        <w:rPr>
          <w:rFonts w:eastAsia="Times New Roman" w:cs="Times New Roman" w:ascii="Arial" w:hAnsi="Arial"/>
          <w:sz w:val="22"/>
          <w:szCs w:val="22"/>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drawing>
          <wp:anchor behindDoc="0" distT="0" distB="0" distL="0" distR="0" simplePos="0" locked="0" layoutInCell="0" allowOverlap="1" relativeHeight="19">
            <wp:simplePos x="0" y="0"/>
            <wp:positionH relativeFrom="column">
              <wp:posOffset>4781550</wp:posOffset>
            </wp:positionH>
            <wp:positionV relativeFrom="paragraph">
              <wp:posOffset>-855345</wp:posOffset>
            </wp:positionV>
            <wp:extent cx="785495" cy="786130"/>
            <wp:effectExtent l="0" t="0" r="0" b="0"/>
            <wp:wrapSquare wrapText="largest"/>
            <wp:docPr id="17" name="Imagen1 Copia 2 Copia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1 Copia 2 Copia 14" descr=""/>
                    <pic:cNvPicPr>
                      <a:picLocks noChangeAspect="1" noChangeArrowheads="1"/>
                    </pic:cNvPicPr>
                  </pic:nvPicPr>
                  <pic:blipFill>
                    <a:blip r:embed="rId19"/>
                    <a:stretch>
                      <a:fillRect/>
                    </a:stretch>
                  </pic:blipFill>
                  <pic:spPr bwMode="auto">
                    <a:xfrm>
                      <a:off x="0" y="0"/>
                      <a:ext cx="785495" cy="786130"/>
                    </a:xfrm>
                    <a:prstGeom prst="rect">
                      <a:avLst/>
                    </a:prstGeom>
                  </pic:spPr>
                </pic:pic>
              </a:graphicData>
            </a:graphic>
          </wp:anchor>
        </w:drawing>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rPr>
          <w:rFonts w:ascii="Arial" w:hAnsi="Arial" w:eastAsia="Times New Roman" w:cs="Times New Roman"/>
          <w:szCs w:val="24"/>
          <w:lang w:val="es-ES" w:eastAsia="es-ES"/>
        </w:rPr>
      </w:pPr>
      <w:r>
        <w:rPr>
          <w:rFonts w:eastAsia="Times New Roman" w:cs="Times New Roman" w:ascii="Arial" w:hAnsi="Arial"/>
          <w:szCs w:val="24"/>
          <w:lang w:val="es-ES" w:eastAsia="es-ES"/>
        </w:rPr>
      </w:r>
    </w:p>
    <w:p>
      <w:pPr>
        <w:pStyle w:val="Normal"/>
        <w:spacing w:lineRule="auto" w:line="240" w:before="0" w:after="0"/>
        <w:jc w:val="both"/>
        <w:rPr>
          <w:rFonts w:ascii="Arial" w:hAnsi="Arial" w:eastAsia="Times New Roman" w:cs="Times New Roman"/>
          <w:b/>
          <w:bCs/>
          <w:sz w:val="18"/>
          <w:szCs w:val="18"/>
          <w:lang w:val="es-ES" w:eastAsia="es-ES"/>
        </w:rPr>
      </w:pPr>
      <w:r>
        <w:rPr>
          <w:rFonts w:eastAsia="Times New Roman" w:cs="Times New Roman" w:ascii="Arial" w:hAnsi="Arial"/>
          <w:b/>
          <w:bCs/>
          <w:sz w:val="18"/>
          <w:szCs w:val="18"/>
          <w:lang w:val="es-ES" w:eastAsia="es-ES"/>
        </w:rPr>
        <w:t xml:space="preserve">Bibliografía de Apoyo Descargable. </w:t>
      </w:r>
    </w:p>
    <w:p>
      <w:pPr>
        <w:pStyle w:val="Normal"/>
        <w:spacing w:lineRule="auto" w:line="240" w:before="0" w:after="0"/>
        <w:jc w:val="both"/>
        <w:rPr>
          <w:rFonts w:ascii="Arial" w:hAnsi="Arial" w:eastAsia="Times New Roman" w:cs="Times New Roman"/>
          <w:sz w:val="18"/>
          <w:szCs w:val="18"/>
          <w:lang w:val="es-ES" w:eastAsia="es-ES"/>
        </w:rPr>
      </w:pPr>
      <w:r>
        <w:rPr>
          <w:rFonts w:eastAsia="Times New Roman" w:cs="Times New Roman" w:ascii="Arial" w:hAnsi="Arial"/>
          <w:sz w:val="18"/>
          <w:szCs w:val="18"/>
          <w:lang w:val="es-ES" w:eastAsia="es-ES"/>
        </w:rPr>
      </w:r>
    </w:p>
    <w:p>
      <w:pPr>
        <w:pStyle w:val="Normal"/>
        <w:spacing w:lineRule="auto" w:line="240" w:before="0" w:after="0"/>
        <w:jc w:val="both"/>
        <w:rPr>
          <w:rFonts w:ascii="Arial" w:hAnsi="Arial" w:eastAsia="Times New Roman" w:cs="Times New Roman"/>
          <w:sz w:val="18"/>
          <w:szCs w:val="18"/>
          <w:lang w:val="es-ES" w:eastAsia="es-ES"/>
        </w:rPr>
      </w:pPr>
      <w:r>
        <w:rPr>
          <w:rFonts w:eastAsia="Times New Roman" w:cs="Times New Roman" w:ascii="Arial" w:hAnsi="Arial"/>
          <w:sz w:val="18"/>
          <w:szCs w:val="18"/>
          <w:lang w:val="es-ES" w:eastAsia="es-ES"/>
        </w:rPr>
      </w:r>
    </w:p>
    <w:p>
      <w:pPr>
        <w:pStyle w:val="Normal"/>
        <w:spacing w:lineRule="auto" w:line="240" w:before="0" w:after="0"/>
        <w:jc w:val="both"/>
        <w:rPr>
          <w:rFonts w:ascii="Arial" w:hAnsi="Arial" w:eastAsia="Times New Roman" w:cs="Times New Roman"/>
          <w:szCs w:val="24"/>
          <w:lang w:val="es-ES" w:eastAsia="es-ES"/>
        </w:rPr>
      </w:pPr>
      <w:r>
        <w:rPr>
          <w:rFonts w:eastAsia="Times New Roman" w:cs="Times New Roman" w:ascii="Arial" w:hAnsi="Arial"/>
          <w:sz w:val="18"/>
          <w:szCs w:val="18"/>
          <w:lang w:val="es-ES" w:eastAsia="es-ES"/>
        </w:rPr>
        <w:t xml:space="preserve">9. Que es la Tanatología (INCAN, México): Disponible en: </w:t>
      </w:r>
      <w:hyperlink r:id="rId20">
        <w:r>
          <w:rPr>
            <w:rStyle w:val="Hyperlink"/>
            <w:rFonts w:eastAsia="Times New Roman" w:cs="Times New Roman" w:ascii="Arial" w:hAnsi="Arial"/>
            <w:sz w:val="18"/>
            <w:szCs w:val="18"/>
            <w:lang w:val="es-ES" w:eastAsia="es-ES"/>
          </w:rPr>
          <w:t>https://incmnsz.mx/descargas/investigacion/tanatologia.pdf</w:t>
        </w:r>
      </w:hyperlink>
      <w:r>
        <w:rPr>
          <w:rFonts w:eastAsia="Times New Roman" w:cs="Times New Roman" w:ascii="Arial" w:hAnsi="Arial"/>
          <w:sz w:val="18"/>
          <w:szCs w:val="18"/>
          <w:lang w:val="es-ES" w:eastAsia="es-ES"/>
        </w:rPr>
        <w:t xml:space="preserve"> </w:t>
      </w:r>
    </w:p>
    <w:p>
      <w:pPr>
        <w:pStyle w:val="Normal"/>
        <w:spacing w:lineRule="auto" w:line="240" w:before="0" w:after="0"/>
        <w:jc w:val="both"/>
        <w:rPr>
          <w:rFonts w:ascii="Arial" w:hAnsi="Arial" w:eastAsia="Times New Roman" w:cs="Times New Roman"/>
          <w:sz w:val="18"/>
          <w:szCs w:val="18"/>
          <w:lang w:val="es-ES" w:eastAsia="es-ES"/>
        </w:rPr>
      </w:pPr>
      <w:r>
        <w:rPr>
          <w:rFonts w:eastAsia="Times New Roman" w:cs="Times New Roman" w:ascii="Arial" w:hAnsi="Arial"/>
          <w:sz w:val="18"/>
          <w:szCs w:val="18"/>
          <w:lang w:val="es-ES" w:eastAsia="es-ES"/>
        </w:rPr>
      </w:r>
    </w:p>
    <w:p>
      <w:pPr>
        <w:pStyle w:val="Normal"/>
        <w:spacing w:lineRule="auto" w:line="240" w:before="0" w:after="0"/>
        <w:jc w:val="both"/>
        <w:rPr>
          <w:rFonts w:ascii="Arial" w:hAnsi="Arial" w:eastAsia="Times New Roman" w:cs="Times New Roman"/>
          <w:sz w:val="18"/>
          <w:szCs w:val="18"/>
          <w:lang w:val="es-ES" w:eastAsia="es-ES"/>
        </w:rPr>
      </w:pPr>
      <w:r>
        <w:rPr>
          <w:rFonts w:eastAsia="Times New Roman" w:cs="Times New Roman" w:ascii="Arial" w:hAnsi="Arial"/>
          <w:sz w:val="18"/>
          <w:szCs w:val="18"/>
          <w:lang w:val="es-ES" w:eastAsia="es-ES"/>
        </w:rPr>
      </w:r>
    </w:p>
    <w:p>
      <w:pPr>
        <w:pStyle w:val="Normal"/>
        <w:spacing w:lineRule="auto" w:line="240" w:before="0" w:after="0"/>
        <w:jc w:val="both"/>
        <w:rPr/>
      </w:pPr>
      <w:r>
        <w:rPr>
          <w:rStyle w:val="Strong"/>
          <w:rFonts w:ascii="Arial" w:hAnsi="Arial"/>
          <w:sz w:val="18"/>
          <w:szCs w:val="18"/>
        </w:rPr>
        <w:t>10. Tanatología: El camino de regreso a casa (Mirada Integrativa):</w:t>
      </w:r>
      <w:r>
        <w:rPr>
          <w:rFonts w:ascii="Arial" w:hAnsi="Arial"/>
          <w:sz w:val="18"/>
          <w:szCs w:val="18"/>
        </w:rPr>
        <w:t xml:space="preserve"> María Cristina González Moreno. Disponible en: </w:t>
      </w:r>
      <w:hyperlink r:id="rId21" w:tgtFrame="_blank">
        <w:r>
          <w:rPr>
            <w:rStyle w:val="Hyperlink"/>
            <w:rFonts w:ascii="Arial" w:hAnsi="Arial"/>
            <w:sz w:val="18"/>
            <w:szCs w:val="18"/>
            <w:u w:val="single"/>
          </w:rPr>
          <w:t>Descargar en Dialnet</w:t>
        </w:r>
      </w:hyperlink>
    </w:p>
    <w:p>
      <w:pPr>
        <w:pStyle w:val="Normal"/>
        <w:spacing w:lineRule="auto" w:line="240" w:before="0" w:after="0"/>
        <w:jc w:val="both"/>
        <w:rPr>
          <w:rFonts w:ascii="Arial" w:hAnsi="Arial"/>
          <w:sz w:val="18"/>
          <w:szCs w:val="18"/>
          <w:u w:val="single"/>
        </w:rPr>
      </w:pPr>
      <w:r>
        <w:rPr>
          <w:rFonts w:ascii="Arial" w:hAnsi="Arial"/>
          <w:sz w:val="18"/>
          <w:szCs w:val="18"/>
          <w:u w:val="single"/>
        </w:rPr>
      </w:r>
    </w:p>
    <w:p>
      <w:pPr>
        <w:pStyle w:val="BodyText"/>
        <w:ind w:hanging="0" w:left="0" w:right="0"/>
        <w:jc w:val="both"/>
        <w:rPr/>
      </w:pPr>
      <w:r>
        <w:rPr>
          <w:rStyle w:val="Strong"/>
          <w:rFonts w:ascii="Arial" w:hAnsi="Arial"/>
          <w:sz w:val="18"/>
          <w:szCs w:val="18"/>
        </w:rPr>
        <w:t>11. La Tanatología y sus campos de aplicación:</w:t>
      </w:r>
      <w:r>
        <w:rPr>
          <w:rFonts w:ascii="Arial" w:hAnsi="Arial"/>
          <w:sz w:val="18"/>
          <w:szCs w:val="18"/>
        </w:rPr>
        <w:t xml:space="preserve"> Documento de investigación sobre cómo esta disciplina ayuda en el proceso de duelo y la aceptación. </w:t>
      </w:r>
      <w:hyperlink r:id="rId22" w:tgtFrame="_blank">
        <w:r>
          <w:rPr>
            <w:rStyle w:val="Hyperlink"/>
            <w:rFonts w:ascii="Arial" w:hAnsi="Arial"/>
            <w:sz w:val="18"/>
            <w:szCs w:val="18"/>
            <w:u w:val="single"/>
          </w:rPr>
          <w:t>Descargar en ResearchGate</w:t>
        </w:r>
      </w:hyperlink>
    </w:p>
    <w:p>
      <w:pPr>
        <w:pStyle w:val="BodyText"/>
        <w:ind w:hanging="0" w:left="0" w:right="0"/>
        <w:jc w:val="both"/>
        <w:rPr>
          <w:rFonts w:ascii="Arial" w:hAnsi="Arial"/>
          <w:sz w:val="18"/>
          <w:szCs w:val="18"/>
          <w:u w:val="single"/>
        </w:rPr>
      </w:pPr>
      <w:r>
        <w:rPr>
          <w:rFonts w:ascii="Arial" w:hAnsi="Arial"/>
          <w:sz w:val="18"/>
          <w:szCs w:val="18"/>
          <w:u w:val="single"/>
        </w:rPr>
      </w:r>
    </w:p>
    <w:p>
      <w:pPr>
        <w:pStyle w:val="BodyText"/>
        <w:ind w:hanging="0" w:left="0" w:right="0"/>
        <w:jc w:val="both"/>
        <w:rPr/>
      </w:pPr>
      <w:r>
        <w:rPr>
          <w:rStyle w:val="Strong"/>
          <w:rFonts w:ascii="Arial" w:hAnsi="Arial"/>
          <w:sz w:val="18"/>
          <w:szCs w:val="18"/>
        </w:rPr>
        <w:t>12. Memorias de la Asociación Mexicana de Tanatología:</w:t>
      </w:r>
      <w:r>
        <w:rPr>
          <w:rFonts w:ascii="Arial" w:hAnsi="Arial"/>
          <w:sz w:val="18"/>
          <w:szCs w:val="18"/>
        </w:rPr>
        <w:t xml:space="preserve"> Recopilación de ponencias sobre cuidados paliativos y el papel del tanatólogo. </w:t>
      </w:r>
      <w:hyperlink r:id="rId23" w:tgtFrame="_blank">
        <w:r>
          <w:rPr>
            <w:rStyle w:val="Hyperlink"/>
            <w:rFonts w:ascii="Arial" w:hAnsi="Arial"/>
            <w:sz w:val="18"/>
            <w:szCs w:val="18"/>
            <w:u w:val="single"/>
          </w:rPr>
          <w:t>Descargar en AMTAC</w:t>
        </w:r>
      </w:hyperlink>
      <w:r>
        <w:rPr>
          <w:rFonts w:ascii="Arial" w:hAnsi="Arial"/>
          <w:sz w:val="18"/>
          <w:szCs w:val="18"/>
        </w:rPr>
        <w:t> </w:t>
      </w:r>
    </w:p>
    <w:p>
      <w:pPr>
        <w:pStyle w:val="BodyText"/>
        <w:ind w:hanging="0" w:left="0" w:right="0"/>
        <w:jc w:val="both"/>
        <w:rPr>
          <w:rFonts w:ascii="Arial" w:hAnsi="Arial"/>
          <w:sz w:val="18"/>
          <w:szCs w:val="18"/>
        </w:rPr>
      </w:pPr>
      <w:r>
        <w:rPr>
          <w:rFonts w:ascii="Arial" w:hAnsi="Arial"/>
          <w:sz w:val="18"/>
          <w:szCs w:val="18"/>
        </w:rPr>
      </w:r>
    </w:p>
    <w:p>
      <w:pPr>
        <w:pStyle w:val="BodyText"/>
        <w:ind w:hanging="0" w:left="0" w:right="0"/>
        <w:jc w:val="both"/>
        <w:rPr/>
      </w:pPr>
      <w:r>
        <w:rPr>
          <w:rStyle w:val="Strong"/>
          <w:rFonts w:ascii="Arial" w:hAnsi="Arial"/>
          <w:sz w:val="18"/>
          <w:szCs w:val="18"/>
        </w:rPr>
        <w:t>13. Las Leyes Espirituales:</w:t>
      </w:r>
      <w:r>
        <w:rPr>
          <w:rFonts w:ascii="Arial" w:hAnsi="Arial"/>
          <w:sz w:val="18"/>
          <w:szCs w:val="18"/>
        </w:rPr>
        <w:t xml:space="preserve"> Libro de Vicent Guillem que aborda preguntas existenciales sobre la vida, la muerte y la justicia desde un enfoque espiritual. </w:t>
      </w:r>
      <w:hyperlink r:id="rId24" w:tgtFrame="_blank">
        <w:r>
          <w:rPr>
            <w:rStyle w:val="Hyperlink"/>
            <w:rFonts w:ascii="Arial" w:hAnsi="Arial"/>
            <w:sz w:val="18"/>
            <w:szCs w:val="18"/>
            <w:u w:val="single"/>
          </w:rPr>
          <w:t>Descargar en la Universitat de València</w:t>
        </w:r>
      </w:hyperlink>
    </w:p>
    <w:p>
      <w:pPr>
        <w:pStyle w:val="BodyText"/>
        <w:ind w:hanging="0" w:left="0" w:right="0"/>
        <w:jc w:val="both"/>
        <w:rPr>
          <w:rFonts w:ascii="Arial" w:hAnsi="Arial"/>
          <w:sz w:val="18"/>
          <w:szCs w:val="18"/>
          <w:u w:val="single"/>
        </w:rPr>
      </w:pPr>
      <w:r>
        <w:rPr>
          <w:rFonts w:ascii="Arial" w:hAnsi="Arial"/>
          <w:sz w:val="18"/>
          <w:szCs w:val="18"/>
          <w:u w:val="single"/>
        </w:rPr>
      </w:r>
    </w:p>
    <w:p>
      <w:pPr>
        <w:pStyle w:val="BodyText"/>
        <w:ind w:hanging="0" w:left="0" w:right="0"/>
        <w:jc w:val="both"/>
        <w:rPr/>
      </w:pPr>
      <w:r>
        <w:rPr>
          <w:rStyle w:val="Strong"/>
          <w:rFonts w:ascii="Arial" w:hAnsi="Arial"/>
          <w:sz w:val="18"/>
          <w:szCs w:val="18"/>
        </w:rPr>
        <w:t>14. La relación personal con Dios en la superación de pérdidas:</w:t>
      </w:r>
      <w:r>
        <w:rPr>
          <w:rFonts w:ascii="Arial" w:hAnsi="Arial"/>
          <w:sz w:val="18"/>
          <w:szCs w:val="18"/>
        </w:rPr>
        <w:t xml:space="preserve"> Una tesina que analiza cómo la espiritualidad y la fe ayudan a transitar el duelo. </w:t>
      </w:r>
      <w:hyperlink r:id="rId25" w:tgtFrame="_blank">
        <w:r>
          <w:rPr>
            <w:rStyle w:val="Hyperlink"/>
            <w:rFonts w:ascii="Arial" w:hAnsi="Arial"/>
            <w:sz w:val="18"/>
            <w:szCs w:val="18"/>
            <w:u w:val="single"/>
          </w:rPr>
          <w:t>Descargar en Biblioteca Virtual AMTAC</w:t>
        </w:r>
      </w:hyperlink>
    </w:p>
    <w:p>
      <w:pPr>
        <w:pStyle w:val="BodyText"/>
        <w:ind w:hanging="0" w:left="0" w:right="0"/>
        <w:jc w:val="both"/>
        <w:rPr>
          <w:rFonts w:ascii="Arial" w:hAnsi="Arial"/>
          <w:sz w:val="18"/>
          <w:szCs w:val="18"/>
          <w:u w:val="single"/>
        </w:rPr>
      </w:pPr>
      <w:r>
        <w:rPr>
          <w:rFonts w:ascii="Arial" w:hAnsi="Arial"/>
          <w:sz w:val="18"/>
          <w:szCs w:val="18"/>
          <w:u w:val="single"/>
        </w:rPr>
      </w:r>
    </w:p>
    <w:p>
      <w:pPr>
        <w:pStyle w:val="BodyText"/>
        <w:ind w:hanging="0" w:left="0" w:right="0"/>
        <w:jc w:val="both"/>
        <w:rPr/>
      </w:pPr>
      <w:r>
        <w:rPr>
          <w:rStyle w:val="Strong"/>
          <w:rFonts w:ascii="Arial" w:hAnsi="Arial"/>
          <w:sz w:val="18"/>
          <w:szCs w:val="18"/>
        </w:rPr>
        <w:t>15. La Tanatología en la Espiritualidad de los Adultos Mayores:</w:t>
      </w:r>
      <w:r>
        <w:rPr>
          <w:rFonts w:ascii="Arial" w:hAnsi="Arial"/>
          <w:sz w:val="18"/>
          <w:szCs w:val="18"/>
        </w:rPr>
        <w:t xml:space="preserve"> Estudio sobre la adaptación emocional y espiritual ante la pérdida de salud y el envejecimiento. </w:t>
      </w:r>
      <w:hyperlink r:id="rId26" w:tgtFrame="_blank">
        <w:r>
          <w:rPr>
            <w:rStyle w:val="Hyperlink"/>
            <w:rFonts w:ascii="Arial" w:hAnsi="Arial"/>
            <w:sz w:val="18"/>
            <w:szCs w:val="18"/>
            <w:u w:val="single"/>
          </w:rPr>
          <w:t>Descargar en Repositorio UTA</w:t>
        </w:r>
      </w:hyperlink>
      <w:r>
        <w:rPr>
          <w:rFonts w:ascii="Arial" w:hAnsi="Arial"/>
          <w:sz w:val="18"/>
          <w:szCs w:val="18"/>
        </w:rPr>
        <w:t> </w:t>
      </w:r>
    </w:p>
    <w:p>
      <w:pPr>
        <w:pStyle w:val="BodyText"/>
        <w:spacing w:before="0" w:after="360"/>
        <w:ind w:hanging="0" w:left="0" w:right="0"/>
        <w:jc w:val="both"/>
        <w:rPr>
          <w:rFonts w:ascii="Arial" w:hAnsi="Arial"/>
          <w:sz w:val="18"/>
          <w:szCs w:val="18"/>
        </w:rPr>
      </w:pPr>
      <w:r>
        <w:rPr>
          <w:rFonts w:ascii="Arial" w:hAnsi="Arial"/>
          <w:sz w:val="18"/>
          <w:szCs w:val="18"/>
        </w:rPr>
      </w:r>
    </w:p>
    <w:p>
      <w:pPr>
        <w:pStyle w:val="BodyText"/>
        <w:spacing w:before="0" w:after="360"/>
        <w:ind w:hanging="0" w:left="0" w:right="0"/>
        <w:jc w:val="both"/>
        <w:rPr/>
      </w:pPr>
      <w:r>
        <w:rPr>
          <w:rStyle w:val="Strong"/>
          <w:rFonts w:ascii="Arial" w:hAnsi="Arial"/>
          <w:sz w:val="18"/>
          <w:szCs w:val="18"/>
        </w:rPr>
        <w:t>16. La Muerte y la Medicina Legal (Capítulo de Tanatología):</w:t>
      </w:r>
      <w:r>
        <w:rPr>
          <w:rFonts w:ascii="Arial" w:hAnsi="Arial"/>
          <w:sz w:val="18"/>
          <w:szCs w:val="18"/>
        </w:rPr>
        <w:t> Texto técnico sobre los procesos biológicos de la muerte y su estudio científico.</w:t>
      </w:r>
      <w:hyperlink r:id="rId27" w:tgtFrame="_blank">
        <w:r>
          <w:rPr>
            <w:rStyle w:val="Hyperlink"/>
            <w:rFonts w:ascii="Arial" w:hAnsi="Arial"/>
            <w:sz w:val="18"/>
            <w:szCs w:val="18"/>
            <w:u w:val="single"/>
          </w:rPr>
          <w:t>Descargar en Scalahed</w:t>
        </w:r>
      </w:hyperlink>
      <w:r>
        <w:rPr>
          <w:rFonts w:ascii="Arial" w:hAnsi="Arial"/>
          <w:sz w:val="18"/>
          <w:szCs w:val="18"/>
          <w:u w:val="single"/>
        </w:rPr>
        <w:t>.</w:t>
      </w:r>
    </w:p>
    <w:p>
      <w:pPr>
        <w:pStyle w:val="BodyText"/>
        <w:spacing w:before="0" w:after="360"/>
        <w:ind w:hanging="0" w:left="0" w:right="0"/>
        <w:jc w:val="both"/>
        <w:rPr>
          <w:rFonts w:ascii="Arial" w:hAnsi="Arial"/>
          <w:sz w:val="18"/>
          <w:szCs w:val="18"/>
          <w:u w:val="single"/>
        </w:rPr>
      </w:pPr>
      <w:r>
        <w:rPr>
          <w:rFonts w:ascii="Arial" w:hAnsi="Arial"/>
          <w:sz w:val="18"/>
          <w:szCs w:val="18"/>
          <w:u w:val="single"/>
        </w:rPr>
      </w:r>
    </w:p>
    <w:p>
      <w:pPr>
        <w:pStyle w:val="BodyText"/>
        <w:spacing w:lineRule="auto" w:line="240" w:before="0" w:after="18"/>
        <w:ind w:hanging="0" w:left="0" w:right="0"/>
        <w:jc w:val="right"/>
        <w:rPr>
          <w:b/>
          <w:bCs/>
          <w:sz w:val="12"/>
          <w:szCs w:val="12"/>
          <w:u w:val="none"/>
        </w:rPr>
      </w:pPr>
      <w:r>
        <w:rPr>
          <w:rFonts w:ascii="Arial" w:hAnsi="Arial"/>
          <w:b/>
          <w:bCs/>
          <w:sz w:val="12"/>
          <w:szCs w:val="12"/>
          <w:u w:val="none"/>
        </w:rPr>
        <w:t xml:space="preserve">Para cualquier tema relacionada con esta obra contactar al </w:t>
      </w:r>
    </w:p>
    <w:p>
      <w:pPr>
        <w:pStyle w:val="BodyText"/>
        <w:spacing w:lineRule="auto" w:line="240" w:before="0" w:after="18"/>
        <w:ind w:hanging="0" w:left="0" w:right="0"/>
        <w:jc w:val="right"/>
        <w:rPr>
          <w:b/>
          <w:bCs/>
          <w:sz w:val="12"/>
          <w:szCs w:val="12"/>
          <w:u w:val="none"/>
        </w:rPr>
      </w:pPr>
      <w:r>
        <w:rPr>
          <w:rFonts w:ascii="Arial" w:hAnsi="Arial"/>
          <w:b/>
          <w:bCs/>
          <w:sz w:val="12"/>
          <w:szCs w:val="12"/>
          <w:u w:val="none"/>
        </w:rPr>
        <w:t xml:space="preserve">Dr. Marco Antonio López Galicia. </w:t>
      </w:r>
    </w:p>
    <w:p>
      <w:pPr>
        <w:pStyle w:val="BodyText"/>
        <w:spacing w:lineRule="auto" w:line="240" w:before="0" w:after="18"/>
        <w:ind w:hanging="0" w:left="0" w:right="0"/>
        <w:jc w:val="right"/>
        <w:rPr>
          <w:b/>
          <w:bCs/>
          <w:sz w:val="12"/>
          <w:szCs w:val="12"/>
          <w:u w:val="none"/>
        </w:rPr>
      </w:pPr>
      <w:hyperlink r:id="rId28">
        <w:r>
          <w:rPr>
            <w:rStyle w:val="Hyperlink"/>
            <w:rFonts w:ascii="Arial" w:hAnsi="Arial"/>
            <w:b/>
            <w:bCs/>
            <w:sz w:val="12"/>
            <w:szCs w:val="12"/>
            <w:u w:val="none"/>
          </w:rPr>
          <w:t>www.centrodetanatologiaatmandhyana.com</w:t>
        </w:r>
      </w:hyperlink>
      <w:r>
        <w:rPr>
          <w:rFonts w:ascii="Arial" w:hAnsi="Arial"/>
          <w:b/>
          <w:bCs/>
          <w:sz w:val="12"/>
          <w:szCs w:val="12"/>
          <w:u w:val="none"/>
        </w:rPr>
        <w:t xml:space="preserve"> </w:t>
      </w:r>
    </w:p>
    <w:p>
      <w:pPr>
        <w:pStyle w:val="BodyText"/>
        <w:spacing w:lineRule="auto" w:line="240" w:before="0" w:after="18"/>
        <w:ind w:hanging="0" w:left="0" w:right="0"/>
        <w:jc w:val="right"/>
        <w:rPr/>
      </w:pPr>
      <w:r>
        <w:rPr>
          <w:rStyle w:val="Hyperlink"/>
          <w:rFonts w:ascii="Arial" w:hAnsi="Arial"/>
          <w:b/>
          <w:bCs/>
          <w:sz w:val="12"/>
          <w:szCs w:val="12"/>
          <w:u w:val="none"/>
        </w:rPr>
        <w:t>centro.de.tanatologia.dana@gmail.com</w:t>
      </w:r>
    </w:p>
    <w:p>
      <w:pPr>
        <w:pStyle w:val="BodyText"/>
        <w:spacing w:lineRule="auto" w:line="240" w:before="0" w:after="18"/>
        <w:ind w:hanging="0" w:left="0" w:right="0"/>
        <w:jc w:val="right"/>
        <w:rPr>
          <w:b/>
          <w:bCs/>
          <w:sz w:val="12"/>
          <w:szCs w:val="12"/>
          <w:u w:val="none"/>
        </w:rPr>
      </w:pPr>
      <w:r>
        <w:rPr>
          <w:rFonts w:ascii="Arial" w:hAnsi="Arial"/>
          <w:b/>
          <w:bCs/>
          <w:sz w:val="12"/>
          <w:szCs w:val="12"/>
          <w:u w:val="none"/>
        </w:rPr>
        <w:t>Teléfono: 5521199987.</w:t>
      </w:r>
    </w:p>
    <w:p>
      <w:pPr>
        <w:pStyle w:val="BodyText"/>
        <w:spacing w:lineRule="auto" w:line="240" w:before="0" w:after="18"/>
        <w:ind w:hanging="0" w:left="0" w:right="0"/>
        <w:jc w:val="right"/>
        <w:rPr>
          <w:rFonts w:ascii="Arial" w:hAnsi="Arial"/>
          <w:b/>
          <w:bCs/>
          <w:sz w:val="12"/>
          <w:szCs w:val="12"/>
          <w:u w:val="none"/>
        </w:rPr>
      </w:pPr>
      <w:r>
        <w:rPr>
          <w:rFonts w:ascii="Arial" w:hAnsi="Arial"/>
          <w:b/>
          <w:bCs/>
          <w:sz w:val="12"/>
          <w:szCs w:val="12"/>
          <w:u w:val="none"/>
        </w:rPr>
        <w:t xml:space="preserve">Todos los Derechos Reservados. </w:t>
      </w:r>
    </w:p>
    <w:p>
      <w:pPr>
        <w:pStyle w:val="BodyText"/>
        <w:jc w:val="both"/>
        <w:rPr/>
      </w:pPr>
      <w:r>
        <w:drawing>
          <wp:anchor behindDoc="0" distT="0" distB="0" distL="0" distR="0" simplePos="0" locked="0" layoutInCell="0" allowOverlap="1" relativeHeight="3">
            <wp:simplePos x="0" y="0"/>
            <wp:positionH relativeFrom="column">
              <wp:posOffset>1409065</wp:posOffset>
            </wp:positionH>
            <wp:positionV relativeFrom="paragraph">
              <wp:posOffset>38100</wp:posOffset>
            </wp:positionV>
            <wp:extent cx="2842260" cy="2845435"/>
            <wp:effectExtent l="0" t="0" r="0" b="0"/>
            <wp:wrapSquare wrapText="largest"/>
            <wp:docPr id="18" name="Imagen1 Copia 1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1 Copia 1 Copia 1" descr=""/>
                    <pic:cNvPicPr>
                      <a:picLocks noChangeAspect="1" noChangeArrowheads="1"/>
                    </pic:cNvPicPr>
                  </pic:nvPicPr>
                  <pic:blipFill>
                    <a:blip r:embed="rId29"/>
                    <a:stretch>
                      <a:fillRect/>
                    </a:stretch>
                  </pic:blipFill>
                  <pic:spPr bwMode="auto">
                    <a:xfrm>
                      <a:off x="0" y="0"/>
                      <a:ext cx="2842260" cy="2845435"/>
                    </a:xfrm>
                    <a:prstGeom prst="rect">
                      <a:avLst/>
                    </a:prstGeom>
                  </pic:spPr>
                </pic:pic>
              </a:graphicData>
            </a:graphic>
          </wp:anchor>
        </w:drawing>
      </w:r>
      <w:r>
        <w:rPr/>
        <w:br/>
      </w:r>
    </w:p>
    <w:sectPr>
      <w:footerReference w:type="even" r:id="rId30"/>
      <w:footerReference w:type="default" r:id="rId31"/>
      <w:footerReference w:type="first" r:id="rId32"/>
      <w:footnotePr>
        <w:numFmt w:val="decimal"/>
      </w:footnotePr>
      <w:type w:val="nextPage"/>
      <w:pgSz w:w="12240" w:h="15840"/>
      <w:pgMar w:left="1701" w:right="1701" w:gutter="0" w:header="0" w:top="1418" w:footer="709" w:bottom="1418"/>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Lato">
    <w:charset w:val="00"/>
    <w:family w:val="roman"/>
    <w:pitch w:val="variable"/>
  </w:font>
  <w:font w:name="Microsoft YaHei">
    <w:charset w:val="00"/>
    <w:family w:val="roman"/>
    <w:pitch w:val="variable"/>
  </w:font>
  <w:font w:name="Noto Sans">
    <w:charset w:val="00"/>
    <w:family w:val="roman"/>
    <w:pitch w:val="variable"/>
  </w:font>
  <w:font w:name="Arial">
    <w:charset w:val="00"/>
    <w:family w:val="roman"/>
    <w:pitch w:val="variable"/>
  </w:font>
  <w:font w:name="Arial">
    <w:altName w:val="sans-serif"/>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bookmarkStart w:id="0" w:name="PageNumWizard_FOOTER_Estilo_de_página_pr"/>
    <w:r>
      <w:rPr/>
      <w:fldChar w:fldCharType="begin"/>
    </w:r>
    <w:r>
      <w:rPr/>
      <w:instrText xml:space="preserve"> PAGE </w:instrText>
    </w:r>
    <w:r>
      <w:rPr/>
      <w:fldChar w:fldCharType="separate"/>
    </w:r>
    <w:r>
      <w:rPr/>
      <w:t>17</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bookmarkStart w:id="1" w:name="PageNumWizard_FOOTER_Estilo_de_página_pr"/>
    <w:r>
      <w:rPr/>
      <w:fldChar w:fldCharType="begin"/>
    </w:r>
    <w:r>
      <w:rPr/>
      <w:instrText xml:space="preserve"> PAGE </w:instrText>
    </w:r>
    <w:r>
      <w:rPr/>
      <w:fldChar w:fldCharType="separate"/>
    </w:r>
    <w:r>
      <w:rPr/>
      <w:t>17</w:t>
    </w:r>
    <w:r>
      <w:rPr/>
      <w:fldChar w:fldCharType="end"/>
    </w:r>
    <w:bookmarkEnd w:id="1"/>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Caracteresdenotaalpie"/>
        </w:rPr>
        <w:footnoteRef/>
      </w:r>
      <w:r>
        <w:rPr/>
        <w:t xml:space="preserve">El contenido retoma los textos de los libros “Tanatología y Espiritualidad para el S. XXI” y “Tanatología Teándrica para Despertar el Potencial Sanador”, del Dr. Marco Antonio López Galicia, Derechos Reservados, Registro ante el Instituto Mexicano de Derechos de Autor en Trámite.  </w:t>
      </w:r>
    </w:p>
  </w:footnote>
  <w:footnote w:id="3">
    <w:p>
      <w:pPr>
        <w:pStyle w:val="Normal"/>
        <w:spacing w:before="0" w:after="0"/>
        <w:ind w:hanging="0" w:left="0" w:right="0"/>
        <w:rPr/>
      </w:pPr>
      <w:r>
        <w:rPr>
          <w:rStyle w:val="Caracteresdenotaalpie"/>
        </w:rPr>
        <w:footnoteRef/>
      </w:r>
      <w:r>
        <w:rPr/>
        <w:t> </w:t>
      </w:r>
      <w:r>
        <w:rPr>
          <w:sz w:val="16"/>
          <w:szCs w:val="16"/>
        </w:rPr>
        <w:t>Definición de Ciencia, disponible en: </w:t>
      </w:r>
      <w:hyperlink r:id="rId1">
        <w:r>
          <w:rPr>
            <w:rStyle w:val="Hyperlink"/>
            <w:color w:val="1155CC"/>
            <w:sz w:val="16"/>
            <w:szCs w:val="16"/>
          </w:rPr>
          <w:t>https://plato.stanford.edu/entries/scientific-method/</w:t>
        </w:r>
      </w:hyperlink>
      <w:r>
        <w:rPr>
          <w:sz w:val="16"/>
          <w:szCs w:val="16"/>
        </w:rPr>
        <w:t xml:space="preserve">⁠, consultada el 01 de marzo de 2026.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s-MX"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Calibri" w:cs="Tahoma"/>
      <w:color w:val="auto"/>
      <w:kern w:val="0"/>
      <w:sz w:val="22"/>
      <w:szCs w:val="22"/>
      <w:lang w:val="es-MX" w:eastAsia="en-US" w:bidi="ar-SA"/>
    </w:rPr>
  </w:style>
  <w:style w:type="paragraph" w:styleId="Heading1">
    <w:name w:val="Heading 1"/>
    <w:basedOn w:val="Normal"/>
    <w:next w:val="Normal"/>
    <w:link w:val="Ttulo1Car"/>
    <w:qFormat/>
    <w:pPr>
      <w:keepNext w:val="true"/>
      <w:keepLines/>
      <w:numPr>
        <w:ilvl w:val="0"/>
        <w:numId w:val="0"/>
      </w:numPr>
      <w:spacing w:before="240" w:after="0"/>
      <w:outlineLvl w:val="0"/>
    </w:pPr>
    <w:rPr>
      <w:rFonts w:ascii="Calibri Light" w:hAnsi="Calibri Light" w:eastAsia="Calibri" w:cs="Tahoma"/>
      <w:color w:themeColor="accent1" w:themeShade="bf" w:val="2F5496"/>
      <w:sz w:val="32"/>
      <w:szCs w:val="32"/>
    </w:rPr>
  </w:style>
  <w:style w:type="paragraph" w:styleId="Heading7">
    <w:name w:val="Heading 7"/>
    <w:basedOn w:val="Normal"/>
    <w:next w:val="Normal"/>
    <w:link w:val="Ttulo7Car"/>
    <w:qFormat/>
    <w:pPr>
      <w:keepNext w:val="true"/>
      <w:numPr>
        <w:ilvl w:val="0"/>
        <w:numId w:val="0"/>
      </w:numPr>
      <w:pBdr>
        <w:top w:val="thinThickSmallGap" w:sz="24" w:space="1" w:color="000000"/>
        <w:left w:val="thinThickSmallGap" w:sz="24" w:space="4" w:color="000000"/>
        <w:bottom w:val="thickThinSmallGap" w:sz="24" w:space="1" w:color="000000"/>
        <w:right w:val="thickThinSmallGap" w:sz="24" w:space="4" w:color="000000"/>
      </w:pBdr>
      <w:spacing w:lineRule="auto" w:line="240" w:before="0" w:after="0"/>
      <w:ind w:firstLine="708"/>
      <w:outlineLvl w:val="6"/>
    </w:pPr>
    <w:rPr>
      <w:rFonts w:ascii="Times New Roman" w:hAnsi="Times New Roman" w:eastAsia="Times New Roman" w:cs="Times New Roman"/>
      <w:b/>
      <w:sz w:val="28"/>
      <w:szCs w:val="20"/>
      <w:lang w:eastAsia="es-MX"/>
    </w:rPr>
  </w:style>
  <w:style w:type="character" w:styleId="DefaultParagraphFont">
    <w:name w:val="Default Paragraph Font"/>
    <w:qFormat/>
    <w:rPr/>
  </w:style>
  <w:style w:type="character" w:styleId="Ttulo7Car">
    <w:name w:val="Título 7 Car"/>
    <w:basedOn w:val="DefaultParagraphFont"/>
    <w:qFormat/>
    <w:rPr>
      <w:rFonts w:ascii="Times New Roman" w:hAnsi="Times New Roman" w:eastAsia="Times New Roman" w:cs="Times New Roman"/>
      <w:b/>
      <w:sz w:val="28"/>
      <w:szCs w:val="20"/>
      <w:lang w:eastAsia="es-MX"/>
    </w:rPr>
  </w:style>
  <w:style w:type="character" w:styleId="TtuloCar">
    <w:name w:val="Título Car"/>
    <w:basedOn w:val="DefaultParagraphFont"/>
    <w:qFormat/>
    <w:rPr>
      <w:rFonts w:ascii="Calibri Light" w:hAnsi="Calibri Light" w:eastAsia="Calibri" w:cs="Tahoma"/>
      <w:spacing w:val="-10"/>
      <w:kern w:val="2"/>
      <w:sz w:val="56"/>
      <w:szCs w:val="56"/>
    </w:rPr>
  </w:style>
  <w:style w:type="character" w:styleId="Ttulo1Car">
    <w:name w:val="Título 1 Car"/>
    <w:basedOn w:val="DefaultParagraphFont"/>
    <w:qFormat/>
    <w:rPr>
      <w:rFonts w:ascii="Calibri Light" w:hAnsi="Calibri Light" w:eastAsia="Calibri" w:cs="Tahoma"/>
      <w:color w:themeColor="accent1" w:themeShade="bf" w:val="2F5496"/>
      <w:sz w:val="32"/>
      <w:szCs w:val="32"/>
    </w:rPr>
  </w:style>
  <w:style w:type="character" w:styleId="Hyperlink">
    <w:name w:val="Hyperlink"/>
    <w:basedOn w:val="DefaultParagraphFont"/>
    <w:rPr>
      <w:color w:val="0000FF"/>
      <w:u w:val="single"/>
    </w:rPr>
  </w:style>
  <w:style w:type="character" w:styleId="TextonotapieCar">
    <w:name w:val="Texto nota pie Car"/>
    <w:basedOn w:val="DefaultParagraphFont"/>
    <w:qFormat/>
    <w:rPr>
      <w:sz w:val="20"/>
      <w:szCs w:val="20"/>
    </w:rPr>
  </w:style>
  <w:style w:type="character" w:styleId="Caracteresdenotaalpie">
    <w:name w:val="Caracteres de nota al pie"/>
    <w:qFormat/>
    <w:rPr>
      <w:vertAlign w:val="superscript"/>
    </w:rPr>
  </w:style>
  <w:style w:type="character" w:styleId="FootnoteReference">
    <w:name w:val="Footnote Reference"/>
    <w:rPr>
      <w:vertAlign w:val="superscript"/>
    </w:rPr>
  </w:style>
  <w:style w:type="character" w:styleId="EncabezadoCar">
    <w:name w:val="Encabezado Car"/>
    <w:basedOn w:val="DefaultParagraphFont"/>
    <w:qFormat/>
    <w:rPr/>
  </w:style>
  <w:style w:type="character" w:styleId="PiedepginaCar">
    <w:name w:val="Pie de página Car"/>
    <w:basedOn w:val="DefaultParagraphFont"/>
    <w:qFormat/>
    <w:rPr/>
  </w:style>
  <w:style w:type="character" w:styleId="TextoindependienteCar">
    <w:name w:val="Texto independiente Car"/>
    <w:basedOn w:val="DefaultParagraphFont"/>
    <w:qFormat/>
    <w:rPr>
      <w:rFonts w:ascii="Times New Roman" w:hAnsi="Times New Roman" w:eastAsia="Batang" w:cs="Times New Roman"/>
      <w:sz w:val="28"/>
      <w:szCs w:val="28"/>
      <w:lang w:val="es-ES" w:eastAsia="es-ES"/>
    </w:rPr>
  </w:style>
  <w:style w:type="character" w:styleId="Caracteresdenotafinal">
    <w:name w:val="Caracteres de nota final"/>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Bolos">
    <w:name w:val="Bolos"/>
    <w:qFormat/>
    <w:rPr>
      <w:rFonts w:ascii="OpenSymbol" w:hAnsi="OpenSymbol" w:eastAsia="OpenSymbol" w:cs="OpenSymbol"/>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xtoindependienteCar"/>
    <w:pPr>
      <w:spacing w:lineRule="auto" w:line="240" w:before="0" w:after="0"/>
      <w:jc w:val="center"/>
    </w:pPr>
    <w:rPr>
      <w:rFonts w:ascii="Times New Roman" w:hAnsi="Times New Roman" w:eastAsia="Batang" w:cs="Times New Roman"/>
      <w:sz w:val="28"/>
      <w:szCs w:val="28"/>
      <w:lang w:val="es-ES" w:eastAsia="es-E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le">
    <w:name w:val="Title"/>
    <w:basedOn w:val="Normal"/>
    <w:next w:val="Normal"/>
    <w:link w:val="TtuloCar"/>
    <w:qFormat/>
    <w:pPr>
      <w:spacing w:lineRule="auto" w:line="240" w:before="0" w:after="0"/>
      <w:contextualSpacing/>
    </w:pPr>
    <w:rPr>
      <w:rFonts w:ascii="Calibri Light" w:hAnsi="Calibri Light" w:eastAsia="Calibri" w:cs="Tahoma"/>
      <w:spacing w:val="-10"/>
      <w:kern w:val="2"/>
      <w:sz w:val="56"/>
      <w:szCs w:val="56"/>
    </w:rPr>
  </w:style>
  <w:style w:type="paragraph" w:styleId="ListParagraph">
    <w:name w:val="List Paragraph"/>
    <w:basedOn w:val="Normal"/>
    <w:qFormat/>
    <w:pPr>
      <w:spacing w:before="0" w:after="200"/>
      <w:ind w:left="720"/>
      <w:contextualSpacing/>
    </w:pPr>
    <w:rPr/>
  </w:style>
  <w:style w:type="paragraph" w:styleId="NoSpacing">
    <w:name w:val="No Spacing"/>
    <w:qFormat/>
    <w:pPr>
      <w:widowControl/>
      <w:suppressAutoHyphens w:val="true"/>
      <w:overflowPunct w:val="false"/>
      <w:bidi w:val="0"/>
      <w:spacing w:lineRule="auto" w:line="240" w:before="0" w:after="0"/>
      <w:jc w:val="left"/>
    </w:pPr>
    <w:rPr>
      <w:rFonts w:ascii="Calibri" w:hAnsi="Calibri" w:eastAsia="Calibri" w:cs="Tahoma"/>
      <w:color w:val="auto"/>
      <w:kern w:val="0"/>
      <w:sz w:val="22"/>
      <w:szCs w:val="22"/>
      <w:lang w:val="es-MX" w:eastAsia="en-US" w:bidi="ar-SA"/>
    </w:rPr>
  </w:style>
  <w:style w:type="paragraph" w:styleId="Default">
    <w:name w:val="Default"/>
    <w:qFormat/>
    <w:pPr>
      <w:widowControl/>
      <w:suppressAutoHyphens w:val="true"/>
      <w:overflowPunct w:val="false"/>
      <w:bidi w:val="0"/>
      <w:spacing w:lineRule="auto" w:line="240" w:before="0" w:after="0"/>
      <w:jc w:val="left"/>
    </w:pPr>
    <w:rPr>
      <w:rFonts w:ascii="Lato" w:hAnsi="Lato" w:eastAsia="Calibri" w:cs="Lato"/>
      <w:color w:val="000000"/>
      <w:kern w:val="0"/>
      <w:sz w:val="24"/>
      <w:szCs w:val="24"/>
      <w:lang w:val="es-MX" w:eastAsia="en-US" w:bidi="ar-SA"/>
    </w:rPr>
  </w:style>
  <w:style w:type="paragraph" w:styleId="FootnoteText">
    <w:name w:val="Footnote Text"/>
    <w:basedOn w:val="Normal"/>
    <w:link w:val="TextonotapieCar"/>
    <w:pPr>
      <w:spacing w:lineRule="auto" w:line="240" w:before="0" w:after="0"/>
    </w:pPr>
    <w:rPr>
      <w:sz w:val="20"/>
      <w:szCs w:val="20"/>
    </w:rPr>
  </w:style>
  <w:style w:type="paragraph" w:styleId="Cabeceraypie">
    <w:name w:val="Cabecera y pie"/>
    <w:basedOn w:val="Normal"/>
    <w:qFormat/>
    <w:pPr/>
    <w:rPr/>
  </w:style>
  <w:style w:type="paragraph" w:styleId="Header">
    <w:name w:val="Header"/>
    <w:basedOn w:val="Normal"/>
    <w:link w:val="EncabezadoCar"/>
    <w:pPr>
      <w:tabs>
        <w:tab w:val="clear" w:pos="708"/>
        <w:tab w:val="center" w:pos="4419" w:leader="none"/>
        <w:tab w:val="right" w:pos="8838" w:leader="none"/>
      </w:tabs>
      <w:spacing w:lineRule="auto" w:line="240" w:before="0" w:after="0"/>
    </w:pPr>
    <w:rPr/>
  </w:style>
  <w:style w:type="paragraph" w:styleId="Footer">
    <w:name w:val="Footer"/>
    <w:basedOn w:val="Normal"/>
    <w:link w:val="PiedepginaCar"/>
    <w:pPr>
      <w:tabs>
        <w:tab w:val="clear" w:pos="708"/>
        <w:tab w:val="center" w:pos="4419" w:leader="none"/>
        <w:tab w:val="right" w:pos="8838" w:leader="none"/>
      </w:tabs>
      <w:spacing w:lineRule="auto" w:line="240" w:before="0" w:after="0"/>
    </w:pPr>
    <w:rPr/>
  </w:style>
  <w:style w:type="paragraph" w:styleId="Normal1">
    <w:name w:val="normal1"/>
    <w:qFormat/>
    <w:pPr>
      <w:widowControl/>
      <w:suppressAutoHyphens w:val="true"/>
      <w:overflowPunct w:val="false"/>
      <w:bidi w:val="0"/>
      <w:spacing w:lineRule="auto" w:line="276" w:before="0" w:after="200"/>
      <w:jc w:val="left"/>
    </w:pPr>
    <w:rPr>
      <w:rFonts w:ascii="Calibri" w:hAnsi="Calibri" w:eastAsia="Calibri" w:cs="Tahoma"/>
      <w:color w:val="auto"/>
      <w:kern w:val="0"/>
      <w:sz w:val="22"/>
      <w:szCs w:val="22"/>
      <w:lang w:val="es-MX" w:eastAsia="en-US" w:bidi="ar-SA"/>
    </w:rPr>
  </w:style>
  <w:style w:type="paragraph" w:styleId="Estilodedibujopredeterminado">
    <w:name w:val="Estilo de dibujo predeterminado"/>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left"/>
    </w:pPr>
    <w:rPr>
      <w:rFonts w:ascii="Microsoft YaHei" w:hAnsi="Microsoft YaHei" w:eastAsia="Tahoma" w:cs="Arial"/>
      <w:b w:val="false"/>
      <w:i w:val="false"/>
      <w:caps w:val="false"/>
      <w:smallCaps w:val="false"/>
      <w:strike w:val="false"/>
      <w:dstrike w:val="false"/>
      <w:outline w:val="false"/>
      <w:shadow w:val="false"/>
      <w:color w:val="000000"/>
      <w:kern w:val="0"/>
      <w:sz w:val="36"/>
      <w:szCs w:val="24"/>
      <w:u w:val="none"/>
      <w:em w:val="none"/>
      <w:lang w:val="es-MX" w:eastAsia="en-US" w:bidi="ar-SA"/>
    </w:rPr>
  </w:style>
  <w:style w:type="paragraph" w:styleId="Objetosinrelleno">
    <w:name w:val="Objeto sin relleno"/>
    <w:basedOn w:val="Estilodedibujopredeterminado"/>
    <w:qFormat/>
    <w:pPr>
      <w:bidi w:val="0"/>
      <w:spacing w:lineRule="auto" w:line="218" w:before="10" w:after="10"/>
      <w:jc w:val="left"/>
    </w:pPr>
    <w:rPr>
      <w:rFonts w:ascii="Microsoft YaHei" w:hAnsi="Microsoft YaHei"/>
      <w:b w:val="false"/>
      <w:i w:val="false"/>
      <w:caps w:val="false"/>
      <w:smallCaps w:val="false"/>
      <w:strike w:val="false"/>
      <w:dstrike w:val="false"/>
      <w:outline w:val="false"/>
      <w:shadow w:val="false"/>
      <w:color w:val="000000"/>
      <w:sz w:val="36"/>
      <w:u w:val="none"/>
      <w:em w:val="none"/>
    </w:rPr>
  </w:style>
  <w:style w:type="paragraph" w:styleId="Objetosinrellenonilnea">
    <w:name w:val="Objeto sin relleno ni línea"/>
    <w:basedOn w:val="Estilodedibujopredeterminado"/>
    <w:qFormat/>
    <w:pPr>
      <w:bidi w:val="0"/>
      <w:spacing w:lineRule="auto" w:line="218" w:before="10" w:after="10"/>
      <w:jc w:val="left"/>
    </w:pPr>
    <w:rPr>
      <w:rFonts w:ascii="Microsoft YaHei" w:hAnsi="Microsoft YaHei"/>
      <w:b w:val="false"/>
      <w:i w:val="false"/>
      <w:caps w:val="false"/>
      <w:smallCaps w:val="false"/>
      <w:strike w:val="false"/>
      <w:dstrike w:val="false"/>
      <w:outline w:val="false"/>
      <w:shadow w:val="false"/>
      <w:color w:val="000000"/>
      <w:sz w:val="36"/>
      <w:u w:val="none"/>
      <w:em w:val="none"/>
    </w:rPr>
  </w:style>
  <w:style w:type="paragraph" w:styleId="A4">
    <w:name w:val="A4"/>
    <w:basedOn w:val="Texto"/>
    <w:qFormat/>
    <w:pPr/>
    <w:rPr>
      <w:rFonts w:ascii="Noto Sans" w:hAnsi="Noto Sans"/>
      <w:sz w:val="36"/>
    </w:rPr>
  </w:style>
  <w:style w:type="paragraph" w:styleId="Texto">
    <w:name w:val="Texto"/>
    <w:basedOn w:val="Caption"/>
    <w:qFormat/>
    <w:pPr/>
    <w:rPr/>
  </w:style>
  <w:style w:type="paragraph" w:styleId="TtulogeneralA4">
    <w:name w:val="Título general A4"/>
    <w:basedOn w:val="A4"/>
    <w:qFormat/>
    <w:pPr/>
    <w:rPr>
      <w:rFonts w:ascii="Noto Sans" w:hAnsi="Noto Sans"/>
      <w:sz w:val="87"/>
    </w:rPr>
  </w:style>
  <w:style w:type="paragraph" w:styleId="TtuloA4">
    <w:name w:val="Título A4"/>
    <w:basedOn w:val="A4"/>
    <w:qFormat/>
    <w:pPr/>
    <w:rPr>
      <w:rFonts w:ascii="Noto Sans" w:hAnsi="Noto Sans"/>
      <w:sz w:val="48"/>
    </w:rPr>
  </w:style>
  <w:style w:type="paragraph" w:styleId="TextoA4">
    <w:name w:val="Texto A4"/>
    <w:basedOn w:val="A4"/>
    <w:qFormat/>
    <w:pPr/>
    <w:rPr>
      <w:rFonts w:ascii="Noto Sans" w:hAnsi="Noto Sans"/>
      <w:sz w:val="36"/>
    </w:rPr>
  </w:style>
  <w:style w:type="paragraph" w:styleId="A0">
    <w:name w:val="A0"/>
    <w:basedOn w:val="Texto"/>
    <w:qFormat/>
    <w:pPr/>
    <w:rPr>
      <w:rFonts w:ascii="Noto Sans" w:hAnsi="Noto Sans"/>
      <w:sz w:val="95"/>
    </w:rPr>
  </w:style>
  <w:style w:type="paragraph" w:styleId="TtulogeneralA0">
    <w:name w:val="Título general A0"/>
    <w:basedOn w:val="A0"/>
    <w:qFormat/>
    <w:pPr/>
    <w:rPr>
      <w:rFonts w:ascii="Noto Sans" w:hAnsi="Noto Sans"/>
      <w:sz w:val="191"/>
    </w:rPr>
  </w:style>
  <w:style w:type="paragraph" w:styleId="TtuloA0">
    <w:name w:val="Título A0"/>
    <w:basedOn w:val="A0"/>
    <w:qFormat/>
    <w:pPr/>
    <w:rPr>
      <w:rFonts w:ascii="Noto Sans" w:hAnsi="Noto Sans"/>
      <w:sz w:val="143"/>
    </w:rPr>
  </w:style>
  <w:style w:type="paragraph" w:styleId="TextoA0">
    <w:name w:val="Texto A0"/>
    <w:basedOn w:val="A0"/>
    <w:qFormat/>
    <w:pPr/>
    <w:rPr>
      <w:rFonts w:ascii="Noto Sans" w:hAnsi="Noto Sans"/>
      <w:sz w:val="95"/>
    </w:rPr>
  </w:style>
  <w:style w:type="paragraph" w:styleId="Imagen">
    <w:name w:val="Imagen"/>
    <w:qFormat/>
    <w:pPr>
      <w:widowControl/>
      <w:suppressAutoHyphens w:val="true"/>
      <w:overflowPunct w:val="false"/>
      <w:bidi w:val="0"/>
      <w:spacing w:before="0" w:after="0"/>
      <w:jc w:val="left"/>
    </w:pPr>
    <w:rPr>
      <w:rFonts w:ascii="Liberation Sans" w:hAnsi="Liberation Sans" w:eastAsia="Tahoma" w:cs="Arial"/>
      <w:color w:val="auto"/>
      <w:kern w:val="0"/>
      <w:sz w:val="36"/>
      <w:szCs w:val="24"/>
      <w:lang w:val="es-MX" w:eastAsia="en-US" w:bidi="ar-SA"/>
    </w:rPr>
  </w:style>
  <w:style w:type="paragraph" w:styleId="Formas">
    <w:name w:val="Formas"/>
    <w:basedOn w:val="Imagen"/>
    <w:qFormat/>
    <w:pPr/>
    <w:rPr>
      <w:rFonts w:ascii="Liberation Sans" w:hAnsi="Liberation Sans"/>
      <w:b/>
      <w:sz w:val="28"/>
    </w:rPr>
  </w:style>
  <w:style w:type="paragraph" w:styleId="Rellenado">
    <w:name w:val="Rellenado"/>
    <w:basedOn w:val="Formas"/>
    <w:qFormat/>
    <w:pPr/>
    <w:rPr>
      <w:rFonts w:ascii="Liberation Sans" w:hAnsi="Liberation Sans"/>
      <w:b/>
      <w:sz w:val="28"/>
    </w:rPr>
  </w:style>
  <w:style w:type="paragraph" w:styleId="Rellenadoazul">
    <w:name w:val="Rellenado azul"/>
    <w:basedOn w:val="Rellenado"/>
    <w:qFormat/>
    <w:pPr/>
    <w:rPr>
      <w:rFonts w:ascii="Liberation Sans" w:hAnsi="Liberation Sans"/>
      <w:b/>
      <w:color w:val="FFFFFF"/>
      <w:sz w:val="28"/>
    </w:rPr>
  </w:style>
  <w:style w:type="paragraph" w:styleId="Rellenadoverde">
    <w:name w:val="Rellenado verde"/>
    <w:basedOn w:val="Rellenado"/>
    <w:qFormat/>
    <w:pPr/>
    <w:rPr>
      <w:rFonts w:ascii="Liberation Sans" w:hAnsi="Liberation Sans"/>
      <w:b/>
      <w:color w:val="FFFFFF"/>
      <w:sz w:val="28"/>
    </w:rPr>
  </w:style>
  <w:style w:type="paragraph" w:styleId="Rellenadorojo">
    <w:name w:val="Rellenado rojo"/>
    <w:basedOn w:val="Rellenado"/>
    <w:qFormat/>
    <w:pPr/>
    <w:rPr>
      <w:rFonts w:ascii="Liberation Sans" w:hAnsi="Liberation Sans"/>
      <w:b/>
      <w:color w:val="FFFFFF"/>
      <w:sz w:val="28"/>
    </w:rPr>
  </w:style>
  <w:style w:type="paragraph" w:styleId="Rellenadoamarillo">
    <w:name w:val="Rellenado amarillo"/>
    <w:basedOn w:val="Rellenado"/>
    <w:qFormat/>
    <w:pPr/>
    <w:rPr>
      <w:rFonts w:ascii="Liberation Sans" w:hAnsi="Liberation Sans"/>
      <w:b/>
      <w:color w:val="FFFFFF"/>
      <w:sz w:val="28"/>
    </w:rPr>
  </w:style>
  <w:style w:type="paragraph" w:styleId="Contorneado">
    <w:name w:val="Contorneado"/>
    <w:basedOn w:val="Formas"/>
    <w:qFormat/>
    <w:pPr/>
    <w:rPr>
      <w:rFonts w:ascii="Liberation Sans" w:hAnsi="Liberation Sans"/>
      <w:b/>
      <w:sz w:val="28"/>
    </w:rPr>
  </w:style>
  <w:style w:type="paragraph" w:styleId="Contorneadoazul">
    <w:name w:val="Contorneado azul"/>
    <w:basedOn w:val="Contorneado"/>
    <w:qFormat/>
    <w:pPr/>
    <w:rPr>
      <w:rFonts w:ascii="Liberation Sans" w:hAnsi="Liberation Sans"/>
      <w:b/>
      <w:color w:val="355269"/>
      <w:sz w:val="28"/>
    </w:rPr>
  </w:style>
  <w:style w:type="paragraph" w:styleId="Contorneadoverde">
    <w:name w:val="Contorneado verde"/>
    <w:basedOn w:val="Contorneado"/>
    <w:qFormat/>
    <w:pPr/>
    <w:rPr>
      <w:rFonts w:ascii="Liberation Sans" w:hAnsi="Liberation Sans"/>
      <w:b/>
      <w:color w:val="127622"/>
      <w:sz w:val="28"/>
    </w:rPr>
  </w:style>
  <w:style w:type="paragraph" w:styleId="Contorneadorojo">
    <w:name w:val="Contorneado rojo"/>
    <w:basedOn w:val="Contorneado"/>
    <w:qFormat/>
    <w:pPr/>
    <w:rPr>
      <w:rFonts w:ascii="Liberation Sans" w:hAnsi="Liberation Sans"/>
      <w:b/>
      <w:color w:val="C9211E"/>
      <w:sz w:val="28"/>
    </w:rPr>
  </w:style>
  <w:style w:type="paragraph" w:styleId="Contorneadoamarillo">
    <w:name w:val="Contorneado amarillo"/>
    <w:basedOn w:val="Contorneado"/>
    <w:qFormat/>
    <w:pPr/>
    <w:rPr>
      <w:rFonts w:ascii="Liberation Sans" w:hAnsi="Liberation Sans"/>
      <w:b/>
      <w:color w:val="B47804"/>
      <w:sz w:val="28"/>
    </w:rPr>
  </w:style>
  <w:style w:type="paragraph" w:styleId="Lneas">
    <w:name w:val="Líneas"/>
    <w:basedOn w:val="Imagen"/>
    <w:qFormat/>
    <w:pPr/>
    <w:rPr>
      <w:rFonts w:ascii="Liberation Sans" w:hAnsi="Liberation Sans"/>
      <w:sz w:val="36"/>
    </w:rPr>
  </w:style>
  <w:style w:type="paragraph" w:styleId="Lneaconflecha">
    <w:name w:val="Línea con flecha"/>
    <w:basedOn w:val="Lneas"/>
    <w:qFormat/>
    <w:pPr/>
    <w:rPr>
      <w:rFonts w:ascii="Liberation Sans" w:hAnsi="Liberation Sans"/>
      <w:sz w:val="36"/>
    </w:rPr>
  </w:style>
  <w:style w:type="paragraph" w:styleId="Lneadiscontinua">
    <w:name w:val="Línea discontinua"/>
    <w:basedOn w:val="Lneas"/>
    <w:qFormat/>
    <w:pPr/>
    <w:rPr>
      <w:rFonts w:ascii="Liberation Sans" w:hAnsi="Liberation Sans"/>
      <w:sz w:val="36"/>
    </w:rPr>
  </w:style>
  <w:style w:type="paragraph" w:styleId="PredeterminadoLTGliederung1">
    <w:name w:val="Predeterminado~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0"/>
      <w:sz w:val="64"/>
      <w:szCs w:val="24"/>
      <w:u w:val="none"/>
      <w:em w:val="none"/>
      <w:lang w:val="es-MX" w:eastAsia="en-US" w:bidi="ar-SA"/>
    </w:rPr>
  </w:style>
  <w:style w:type="paragraph" w:styleId="PredeterminadoLTGliederung2">
    <w:name w:val="Predeterminado~LT~Gliederung 2"/>
    <w:basedOn w:val="Predeterminado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sz w:val="56"/>
      <w:u w:val="none"/>
      <w:em w:val="none"/>
    </w:rPr>
  </w:style>
  <w:style w:type="paragraph" w:styleId="PredeterminadoLTGliederung3">
    <w:name w:val="Predeterminado~LT~Gliederung 3"/>
    <w:basedOn w:val="Predeterminado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sz w:val="48"/>
      <w:u w:val="none"/>
      <w:em w:val="none"/>
    </w:rPr>
  </w:style>
  <w:style w:type="paragraph" w:styleId="PredeterminadoLTGliederung4">
    <w:name w:val="Predeterminado~LT~Gliederung 4"/>
    <w:basedOn w:val="Predeterminado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Gliederung5">
    <w:name w:val="Predeterminado~LT~Gliederung 5"/>
    <w:basedOn w:val="Predeterminado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Gliederung6">
    <w:name w:val="Predeterminado~LT~Gliederung 6"/>
    <w:basedOn w:val="Predeterminado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Gliederung7">
    <w:name w:val="Predeterminado~LT~Gliederung 7"/>
    <w:basedOn w:val="Predeterminado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Gliederung8">
    <w:name w:val="Predeterminado~LT~Gliederung 8"/>
    <w:basedOn w:val="Predeterminado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Gliederung9">
    <w:name w:val="Predeterminado~LT~Gliederung 9"/>
    <w:basedOn w:val="Predeterminado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sz w:val="40"/>
      <w:u w:val="none"/>
      <w:em w:val="none"/>
    </w:rPr>
  </w:style>
  <w:style w:type="paragraph" w:styleId="PredeterminadoLTTitel">
    <w:name w:val="Predeterminado~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0"/>
      <w:sz w:val="88"/>
      <w:szCs w:val="24"/>
      <w:u w:val="none"/>
      <w:em w:val="none"/>
      <w:lang w:val="es-MX" w:eastAsia="en-US" w:bidi="ar-SA"/>
    </w:rPr>
  </w:style>
  <w:style w:type="paragraph" w:styleId="PredeterminadoLTUntertitel">
    <w:name w:val="Predeterminado~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0"/>
      <w:sz w:val="64"/>
      <w:szCs w:val="24"/>
      <w:u w:val="none"/>
      <w:em w:val="none"/>
      <w:lang w:val="es-MX" w:eastAsia="en-US" w:bidi="ar-SA"/>
    </w:rPr>
  </w:style>
  <w:style w:type="paragraph" w:styleId="PredeterminadoLTNotizen">
    <w:name w:val="Predeterminado~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0"/>
      <w:sz w:val="24"/>
      <w:szCs w:val="24"/>
      <w:u w:val="none"/>
      <w:em w:val="none"/>
      <w:lang w:val="es-MX" w:eastAsia="en-US" w:bidi="ar-SA"/>
    </w:rPr>
  </w:style>
  <w:style w:type="paragraph" w:styleId="PredeterminadoLTHintergrundobjekte">
    <w:name w:val="Predeterminado~LT~Hintergrundobjekte"/>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left"/>
    </w:pPr>
    <w:rPr>
      <w:rFonts w:ascii="Microsoft YaHei" w:hAnsi="Microsoft YaHei" w:eastAsia="Tahoma" w:cs="Arial"/>
      <w:b w:val="false"/>
      <w:i w:val="false"/>
      <w:strike w:val="false"/>
      <w:dstrike w:val="false"/>
      <w:shadow w:val="false"/>
      <w:color w:val="000000"/>
      <w:kern w:val="0"/>
      <w:sz w:val="36"/>
      <w:szCs w:val="24"/>
      <w:u w:val="none"/>
      <w:lang w:val="es-MX" w:eastAsia="en-US" w:bidi="ar-SA"/>
    </w:rPr>
  </w:style>
  <w:style w:type="paragraph" w:styleId="PredeterminadoLTHintergrund">
    <w:name w:val="Predeterminado~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Default1">
    <w:name w:val="default1"/>
    <w:qFormat/>
    <w:pPr>
      <w:widowControl/>
      <w:suppressAutoHyphens w:val="true"/>
      <w:overflowPunct w:val="false"/>
      <w:bidi w:val="0"/>
      <w:spacing w:before="0" w:after="0"/>
      <w:jc w:val="left"/>
    </w:pPr>
    <w:rPr>
      <w:rFonts w:ascii="Arial" w:hAnsi="Arial" w:eastAsia="Tahoma" w:cs="Arial"/>
      <w:color w:val="auto"/>
      <w:kern w:val="0"/>
      <w:sz w:val="36"/>
      <w:szCs w:val="24"/>
      <w:lang w:val="es-MX" w:eastAsia="en-US" w:bidi="ar-SA"/>
    </w:rPr>
  </w:style>
  <w:style w:type="paragraph" w:styleId="Bg-none">
    <w:name w:val="bg-none"/>
    <w:basedOn w:val="Default1"/>
    <w:qFormat/>
    <w:pPr/>
    <w:rPr>
      <w:rFonts w:ascii="Arial" w:hAnsi="Arial"/>
      <w:color w:val="auto"/>
      <w:sz w:val="36"/>
    </w:rPr>
  </w:style>
  <w:style w:type="paragraph" w:styleId="Gray">
    <w:name w:val="gray"/>
    <w:basedOn w:val="Default1"/>
    <w:qFormat/>
    <w:pPr/>
    <w:rPr>
      <w:rFonts w:ascii="Arial" w:hAnsi="Arial"/>
      <w:color w:val="auto"/>
      <w:sz w:val="36"/>
    </w:rPr>
  </w:style>
  <w:style w:type="paragraph" w:styleId="Dark-gray">
    <w:name w:val="dark-gray"/>
    <w:basedOn w:val="Default1"/>
    <w:qFormat/>
    <w:pPr/>
    <w:rPr>
      <w:rFonts w:ascii="Arial" w:hAnsi="Arial"/>
      <w:color w:val="auto"/>
      <w:sz w:val="36"/>
    </w:rPr>
  </w:style>
  <w:style w:type="paragraph" w:styleId="Black">
    <w:name w:val="black"/>
    <w:basedOn w:val="Default1"/>
    <w:qFormat/>
    <w:pPr/>
    <w:rPr>
      <w:rFonts w:ascii="Arial" w:hAnsi="Arial"/>
      <w:color w:val="FFFFFF"/>
      <w:sz w:val="36"/>
    </w:rPr>
  </w:style>
  <w:style w:type="paragraph" w:styleId="Black-with-border">
    <w:name w:val="black-with-border"/>
    <w:basedOn w:val="Default1"/>
    <w:qFormat/>
    <w:pPr/>
    <w:rPr>
      <w:rFonts w:ascii="Arial" w:hAnsi="Arial"/>
      <w:color w:val="FFFFFF"/>
      <w:sz w:val="36"/>
    </w:rPr>
  </w:style>
  <w:style w:type="paragraph" w:styleId="Gray-with-border">
    <w:name w:val="gray-with-border"/>
    <w:basedOn w:val="Default1"/>
    <w:qFormat/>
    <w:pPr/>
    <w:rPr>
      <w:rFonts w:ascii="Arial" w:hAnsi="Arial"/>
      <w:color w:val="auto"/>
      <w:sz w:val="36"/>
    </w:rPr>
  </w:style>
  <w:style w:type="paragraph" w:styleId="White">
    <w:name w:val="white"/>
    <w:basedOn w:val="Default1"/>
    <w:qFormat/>
    <w:pPr/>
    <w:rPr>
      <w:rFonts w:ascii="Arial" w:hAnsi="Arial"/>
      <w:color w:val="auto"/>
      <w:sz w:val="36"/>
    </w:rPr>
  </w:style>
  <w:style w:type="paragraph" w:styleId="White-with-border">
    <w:name w:val="white-with-border"/>
    <w:basedOn w:val="Default1"/>
    <w:qFormat/>
    <w:pPr/>
    <w:rPr>
      <w:rFonts w:ascii="Arial" w:hAnsi="Arial"/>
      <w:color w:val="auto"/>
      <w:sz w:val="36"/>
    </w:rPr>
  </w:style>
  <w:style w:type="paragraph" w:styleId="Blue-title">
    <w:name w:val="blue-title"/>
    <w:basedOn w:val="Default1"/>
    <w:qFormat/>
    <w:pPr/>
    <w:rPr>
      <w:rFonts w:ascii="Arial" w:hAnsi="Arial"/>
      <w:color w:val="FFFFFF"/>
      <w:sz w:val="36"/>
    </w:rPr>
  </w:style>
  <w:style w:type="paragraph" w:styleId="Blue-title-with-border">
    <w:name w:val="blue-title-with-border"/>
    <w:basedOn w:val="Default1"/>
    <w:qFormat/>
    <w:pPr/>
    <w:rPr>
      <w:rFonts w:ascii="Arial" w:hAnsi="Arial"/>
      <w:color w:val="FFFFFF"/>
      <w:sz w:val="36"/>
    </w:rPr>
  </w:style>
  <w:style w:type="paragraph" w:styleId="Blue-banded">
    <w:name w:val="blue-banded"/>
    <w:basedOn w:val="Default1"/>
    <w:qFormat/>
    <w:pPr/>
    <w:rPr>
      <w:rFonts w:ascii="Arial" w:hAnsi="Arial"/>
      <w:color w:val="auto"/>
      <w:sz w:val="36"/>
    </w:rPr>
  </w:style>
  <w:style w:type="paragraph" w:styleId="Blue-normal">
    <w:name w:val="blue-normal"/>
    <w:basedOn w:val="Default1"/>
    <w:qFormat/>
    <w:pPr/>
    <w:rPr>
      <w:rFonts w:ascii="Arial" w:hAnsi="Arial"/>
      <w:color w:val="auto"/>
      <w:sz w:val="36"/>
    </w:rPr>
  </w:style>
  <w:style w:type="paragraph" w:styleId="Orange-title">
    <w:name w:val="orange-title"/>
    <w:basedOn w:val="Default1"/>
    <w:qFormat/>
    <w:pPr/>
    <w:rPr>
      <w:rFonts w:ascii="Arial" w:hAnsi="Arial"/>
      <w:color w:val="FFFFFF"/>
      <w:sz w:val="36"/>
    </w:rPr>
  </w:style>
  <w:style w:type="paragraph" w:styleId="Orange-title-with-border">
    <w:name w:val="orange-title-with-border"/>
    <w:basedOn w:val="Default1"/>
    <w:qFormat/>
    <w:pPr/>
    <w:rPr>
      <w:rFonts w:ascii="Arial" w:hAnsi="Arial"/>
      <w:color w:val="FFFFFF"/>
      <w:sz w:val="36"/>
    </w:rPr>
  </w:style>
  <w:style w:type="paragraph" w:styleId="Orange-banded">
    <w:name w:val="orange-banded"/>
    <w:basedOn w:val="Default1"/>
    <w:qFormat/>
    <w:pPr/>
    <w:rPr>
      <w:rFonts w:ascii="Arial" w:hAnsi="Arial"/>
      <w:color w:val="auto"/>
      <w:sz w:val="36"/>
    </w:rPr>
  </w:style>
  <w:style w:type="paragraph" w:styleId="Orange-normal">
    <w:name w:val="orange-normal"/>
    <w:basedOn w:val="Default1"/>
    <w:qFormat/>
    <w:pPr/>
    <w:rPr>
      <w:rFonts w:ascii="Arial" w:hAnsi="Arial"/>
      <w:color w:val="auto"/>
      <w:sz w:val="36"/>
    </w:rPr>
  </w:style>
  <w:style w:type="paragraph" w:styleId="Teal-title">
    <w:name w:val="teal-title"/>
    <w:basedOn w:val="Default1"/>
    <w:qFormat/>
    <w:pPr/>
    <w:rPr>
      <w:rFonts w:ascii="Arial" w:hAnsi="Arial"/>
      <w:color w:val="FFFFFF"/>
      <w:sz w:val="36"/>
    </w:rPr>
  </w:style>
  <w:style w:type="paragraph" w:styleId="Teal-title-with-border">
    <w:name w:val="teal-title-with-border"/>
    <w:basedOn w:val="Default1"/>
    <w:qFormat/>
    <w:pPr/>
    <w:rPr>
      <w:rFonts w:ascii="Arial" w:hAnsi="Arial"/>
      <w:color w:val="FFFFFF"/>
      <w:sz w:val="36"/>
    </w:rPr>
  </w:style>
  <w:style w:type="paragraph" w:styleId="Teal-banded">
    <w:name w:val="teal-banded"/>
    <w:basedOn w:val="Default1"/>
    <w:qFormat/>
    <w:pPr/>
    <w:rPr>
      <w:rFonts w:ascii="Arial" w:hAnsi="Arial"/>
      <w:color w:val="auto"/>
      <w:sz w:val="36"/>
    </w:rPr>
  </w:style>
  <w:style w:type="paragraph" w:styleId="Teal-normal">
    <w:name w:val="teal-normal"/>
    <w:basedOn w:val="Default1"/>
    <w:qFormat/>
    <w:pPr/>
    <w:rPr>
      <w:rFonts w:ascii="Arial" w:hAnsi="Arial"/>
      <w:color w:val="auto"/>
      <w:sz w:val="36"/>
    </w:rPr>
  </w:style>
  <w:style w:type="paragraph" w:styleId="Magenta-title">
    <w:name w:val="magenta-title"/>
    <w:basedOn w:val="Default1"/>
    <w:qFormat/>
    <w:pPr/>
    <w:rPr>
      <w:rFonts w:ascii="Arial" w:hAnsi="Arial"/>
      <w:color w:val="FFFFFF"/>
      <w:sz w:val="36"/>
    </w:rPr>
  </w:style>
  <w:style w:type="paragraph" w:styleId="Magenta-title-with-border">
    <w:name w:val="magenta-title-with-border"/>
    <w:basedOn w:val="Default1"/>
    <w:qFormat/>
    <w:pPr/>
    <w:rPr>
      <w:rFonts w:ascii="Arial" w:hAnsi="Arial"/>
      <w:color w:val="FFFFFF"/>
      <w:sz w:val="36"/>
    </w:rPr>
  </w:style>
  <w:style w:type="paragraph" w:styleId="Magenta-banded">
    <w:name w:val="magenta-banded"/>
    <w:basedOn w:val="Default1"/>
    <w:qFormat/>
    <w:pPr/>
    <w:rPr>
      <w:rFonts w:ascii="Arial" w:hAnsi="Arial"/>
      <w:color w:val="auto"/>
      <w:sz w:val="36"/>
    </w:rPr>
  </w:style>
  <w:style w:type="paragraph" w:styleId="Magenta-normal">
    <w:name w:val="magenta-normal"/>
    <w:basedOn w:val="Default1"/>
    <w:qFormat/>
    <w:pPr/>
    <w:rPr>
      <w:rFonts w:ascii="Arial" w:hAnsi="Arial"/>
      <w:color w:val="auto"/>
      <w:sz w:val="36"/>
    </w:rPr>
  </w:style>
  <w:style w:type="paragraph" w:styleId="Objetosdefondo">
    <w:name w:val="Objetos de fondo"/>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Fondo">
    <w:name w:val="Fondo"/>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Notas">
    <w:name w:val="Notas"/>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Esquema1">
    <w:name w:val="Esquema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Esquema2">
    <w:name w:val="Esquema 2"/>
    <w:basedOn w:val="Esquema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192"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Esquema3">
    <w:name w:val="Esquema 3"/>
    <w:basedOn w:val="Esquema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192"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4">
    <w:name w:val="Esquema 4"/>
    <w:basedOn w:val="Esquema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192"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5">
    <w:name w:val="Esquema 5"/>
    <w:basedOn w:val="Esquema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192"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6">
    <w:name w:val="Esquema 6"/>
    <w:basedOn w:val="Esquema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7">
    <w:name w:val="Esquema 7"/>
    <w:basedOn w:val="Esquema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8">
    <w:name w:val="Esquema 8"/>
    <w:basedOn w:val="Esquema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Esquema9">
    <w:name w:val="Esquema 9"/>
    <w:basedOn w:val="Esquema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1">
    <w:name w:val="Título1~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LTGliederung2">
    <w:name w:val="Título1~LT~Gliederung 2"/>
    <w:basedOn w:val="Ttulo1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1LTGliederung3">
    <w:name w:val="Título1~LT~Gliederung 3"/>
    <w:basedOn w:val="Ttulo1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LTGliederung4">
    <w:name w:val="Título1~LT~Gliederung 4"/>
    <w:basedOn w:val="Ttulo1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5">
    <w:name w:val="Título1~LT~Gliederung 5"/>
    <w:basedOn w:val="Ttulo1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6">
    <w:name w:val="Título1~LT~Gliederung 6"/>
    <w:basedOn w:val="Ttulo1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7">
    <w:name w:val="Título1~LT~Gliederung 7"/>
    <w:basedOn w:val="Ttulo1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8">
    <w:name w:val="Título1~LT~Gliederung 8"/>
    <w:basedOn w:val="Ttulo1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Gliederung9">
    <w:name w:val="Título1~LT~Gliederung 9"/>
    <w:basedOn w:val="Ttulo1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LTTitel">
    <w:name w:val="Título1~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1LTUntertitel">
    <w:name w:val="Título1~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LTNotizen">
    <w:name w:val="Título1~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LTHintergrundobjekte">
    <w:name w:val="Título1~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LTHintergrund">
    <w:name w:val="Título1~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2LTGliederung1">
    <w:name w:val="Título2~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2LTGliederung2">
    <w:name w:val="Título2~LT~Gliederung 2"/>
    <w:basedOn w:val="Ttulo2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2LTGliederung3">
    <w:name w:val="Título2~LT~Gliederung 3"/>
    <w:basedOn w:val="Ttulo2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2LTGliederung4">
    <w:name w:val="Título2~LT~Gliederung 4"/>
    <w:basedOn w:val="Ttulo2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Gliederung5">
    <w:name w:val="Título2~LT~Gliederung 5"/>
    <w:basedOn w:val="Ttulo2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Gliederung6">
    <w:name w:val="Título2~LT~Gliederung 6"/>
    <w:basedOn w:val="Ttulo2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Gliederung7">
    <w:name w:val="Título2~LT~Gliederung 7"/>
    <w:basedOn w:val="Ttulo2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Gliederung8">
    <w:name w:val="Título2~LT~Gliederung 8"/>
    <w:basedOn w:val="Ttulo2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Gliederung9">
    <w:name w:val="Título2~LT~Gliederung 9"/>
    <w:basedOn w:val="Ttulo2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2LTTitel">
    <w:name w:val="Título2~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2LTUntertitel">
    <w:name w:val="Título2~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2LTNotizen">
    <w:name w:val="Título2~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2LTHintergrundobjekte">
    <w:name w:val="Título2~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2LTHintergrund">
    <w:name w:val="Título2~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3LTGliederung1">
    <w:name w:val="Título3~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3LTGliederung2">
    <w:name w:val="Título3~LT~Gliederung 2"/>
    <w:basedOn w:val="Ttulo3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3LTGliederung3">
    <w:name w:val="Título3~LT~Gliederung 3"/>
    <w:basedOn w:val="Ttulo3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3LTGliederung4">
    <w:name w:val="Título3~LT~Gliederung 4"/>
    <w:basedOn w:val="Ttulo3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Gliederung5">
    <w:name w:val="Título3~LT~Gliederung 5"/>
    <w:basedOn w:val="Ttulo3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Gliederung6">
    <w:name w:val="Título3~LT~Gliederung 6"/>
    <w:basedOn w:val="Ttulo3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Gliederung7">
    <w:name w:val="Título3~LT~Gliederung 7"/>
    <w:basedOn w:val="Ttulo3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Gliederung8">
    <w:name w:val="Título3~LT~Gliederung 8"/>
    <w:basedOn w:val="Ttulo3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Gliederung9">
    <w:name w:val="Título3~LT~Gliederung 9"/>
    <w:basedOn w:val="Ttulo3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3LTTitel">
    <w:name w:val="Título3~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3LTUntertitel">
    <w:name w:val="Título3~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3LTNotizen">
    <w:name w:val="Título3~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3LTHintergrundobjekte">
    <w:name w:val="Título3~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3LTHintergrund">
    <w:name w:val="Título3~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4LTGliederung1">
    <w:name w:val="Título4~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4LTGliederung2">
    <w:name w:val="Título4~LT~Gliederung 2"/>
    <w:basedOn w:val="Ttulo4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4LTGliederung3">
    <w:name w:val="Título4~LT~Gliederung 3"/>
    <w:basedOn w:val="Ttulo4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4LTGliederung4">
    <w:name w:val="Título4~LT~Gliederung 4"/>
    <w:basedOn w:val="Ttulo4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Gliederung5">
    <w:name w:val="Título4~LT~Gliederung 5"/>
    <w:basedOn w:val="Ttulo4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Gliederung6">
    <w:name w:val="Título4~LT~Gliederung 6"/>
    <w:basedOn w:val="Ttulo4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Gliederung7">
    <w:name w:val="Título4~LT~Gliederung 7"/>
    <w:basedOn w:val="Ttulo4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Gliederung8">
    <w:name w:val="Título4~LT~Gliederung 8"/>
    <w:basedOn w:val="Ttulo4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Gliederung9">
    <w:name w:val="Título4~LT~Gliederung 9"/>
    <w:basedOn w:val="Ttulo4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4LTTitel">
    <w:name w:val="Título4~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4LTUntertitel">
    <w:name w:val="Título4~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4LTNotizen">
    <w:name w:val="Título4~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4LTHintergrundobjekte">
    <w:name w:val="Título4~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4LTHintergrund">
    <w:name w:val="Título4~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5LTGliederung1">
    <w:name w:val="Título5~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5LTGliederung2">
    <w:name w:val="Título5~LT~Gliederung 2"/>
    <w:basedOn w:val="Ttulo5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5LTGliederung3">
    <w:name w:val="Título5~LT~Gliederung 3"/>
    <w:basedOn w:val="Ttulo5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5LTGliederung4">
    <w:name w:val="Título5~LT~Gliederung 4"/>
    <w:basedOn w:val="Ttulo5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Gliederung5">
    <w:name w:val="Título5~LT~Gliederung 5"/>
    <w:basedOn w:val="Ttulo5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Gliederung6">
    <w:name w:val="Título5~LT~Gliederung 6"/>
    <w:basedOn w:val="Ttulo5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Gliederung7">
    <w:name w:val="Título5~LT~Gliederung 7"/>
    <w:basedOn w:val="Ttulo5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Gliederung8">
    <w:name w:val="Título5~LT~Gliederung 8"/>
    <w:basedOn w:val="Ttulo5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Gliederung9">
    <w:name w:val="Título5~LT~Gliederung 9"/>
    <w:basedOn w:val="Ttulo5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5LTTitel">
    <w:name w:val="Título5~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5LTUntertitel">
    <w:name w:val="Título5~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5LTNotizen">
    <w:name w:val="Título5~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5LTHintergrundobjekte">
    <w:name w:val="Título5~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5LTHintergrund">
    <w:name w:val="Título5~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6LTGliederung1">
    <w:name w:val="Título6~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6LTGliederung2">
    <w:name w:val="Título6~LT~Gliederung 2"/>
    <w:basedOn w:val="Ttulo6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6LTGliederung3">
    <w:name w:val="Título6~LT~Gliederung 3"/>
    <w:basedOn w:val="Ttulo6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6LTGliederung4">
    <w:name w:val="Título6~LT~Gliederung 4"/>
    <w:basedOn w:val="Ttulo6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Gliederung5">
    <w:name w:val="Título6~LT~Gliederung 5"/>
    <w:basedOn w:val="Ttulo6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Gliederung6">
    <w:name w:val="Título6~LT~Gliederung 6"/>
    <w:basedOn w:val="Ttulo6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Gliederung7">
    <w:name w:val="Título6~LT~Gliederung 7"/>
    <w:basedOn w:val="Ttulo6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Gliederung8">
    <w:name w:val="Título6~LT~Gliederung 8"/>
    <w:basedOn w:val="Ttulo6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Gliederung9">
    <w:name w:val="Título6~LT~Gliederung 9"/>
    <w:basedOn w:val="Ttulo6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6LTTitel">
    <w:name w:val="Título6~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6LTUntertitel">
    <w:name w:val="Título6~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6LTNotizen">
    <w:name w:val="Título6~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6LTHintergrundobjekte">
    <w:name w:val="Título6~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6LTHintergrund">
    <w:name w:val="Título6~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7LTGliederung1">
    <w:name w:val="Título7~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7LTGliederung2">
    <w:name w:val="Título7~LT~Gliederung 2"/>
    <w:basedOn w:val="Ttulo7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7LTGliederung3">
    <w:name w:val="Título7~LT~Gliederung 3"/>
    <w:basedOn w:val="Ttulo7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7LTGliederung4">
    <w:name w:val="Título7~LT~Gliederung 4"/>
    <w:basedOn w:val="Ttulo7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Gliederung5">
    <w:name w:val="Título7~LT~Gliederung 5"/>
    <w:basedOn w:val="Ttulo7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Gliederung6">
    <w:name w:val="Título7~LT~Gliederung 6"/>
    <w:basedOn w:val="Ttulo7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Gliederung7">
    <w:name w:val="Título7~LT~Gliederung 7"/>
    <w:basedOn w:val="Ttulo7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Gliederung8">
    <w:name w:val="Título7~LT~Gliederung 8"/>
    <w:basedOn w:val="Ttulo7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Gliederung9">
    <w:name w:val="Título7~LT~Gliederung 9"/>
    <w:basedOn w:val="Ttulo7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7LTTitel">
    <w:name w:val="Título7~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7LTUntertitel">
    <w:name w:val="Título7~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7LTNotizen">
    <w:name w:val="Título7~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7LTHintergrundobjekte">
    <w:name w:val="Título7~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7LTHintergrund">
    <w:name w:val="Título7~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8LTGliederung1">
    <w:name w:val="Título8~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8LTGliederung2">
    <w:name w:val="Título8~LT~Gliederung 2"/>
    <w:basedOn w:val="Ttulo8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8LTGliederung3">
    <w:name w:val="Título8~LT~Gliederung 3"/>
    <w:basedOn w:val="Ttulo8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8LTGliederung4">
    <w:name w:val="Título8~LT~Gliederung 4"/>
    <w:basedOn w:val="Ttulo8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Gliederung5">
    <w:name w:val="Título8~LT~Gliederung 5"/>
    <w:basedOn w:val="Ttulo8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Gliederung6">
    <w:name w:val="Título8~LT~Gliederung 6"/>
    <w:basedOn w:val="Ttulo8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Gliederung7">
    <w:name w:val="Título8~LT~Gliederung 7"/>
    <w:basedOn w:val="Ttulo8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Gliederung8">
    <w:name w:val="Título8~LT~Gliederung 8"/>
    <w:basedOn w:val="Ttulo8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Gliederung9">
    <w:name w:val="Título8~LT~Gliederung 9"/>
    <w:basedOn w:val="Ttulo8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8LTTitel">
    <w:name w:val="Título8~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8LTUntertitel">
    <w:name w:val="Título8~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8LTNotizen">
    <w:name w:val="Título8~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8LTHintergrundobjekte">
    <w:name w:val="Título8~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8LTHintergrund">
    <w:name w:val="Título8~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9LTGliederung1">
    <w:name w:val="Título9~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9LTGliederung2">
    <w:name w:val="Título9~LT~Gliederung 2"/>
    <w:basedOn w:val="Ttulo9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9LTGliederung3">
    <w:name w:val="Título9~LT~Gliederung 3"/>
    <w:basedOn w:val="Ttulo9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9LTGliederung4">
    <w:name w:val="Título9~LT~Gliederung 4"/>
    <w:basedOn w:val="Ttulo9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Gliederung5">
    <w:name w:val="Título9~LT~Gliederung 5"/>
    <w:basedOn w:val="Ttulo9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Gliederung6">
    <w:name w:val="Título9~LT~Gliederung 6"/>
    <w:basedOn w:val="Ttulo9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Gliederung7">
    <w:name w:val="Título9~LT~Gliederung 7"/>
    <w:basedOn w:val="Ttulo9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Gliederung8">
    <w:name w:val="Título9~LT~Gliederung 8"/>
    <w:basedOn w:val="Ttulo9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Gliederung9">
    <w:name w:val="Título9~LT~Gliederung 9"/>
    <w:basedOn w:val="Ttulo9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9LTTitel">
    <w:name w:val="Título9~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9LTUntertitel">
    <w:name w:val="Título9~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9LTNotizen">
    <w:name w:val="Título9~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9LTHintergrundobjekte">
    <w:name w:val="Título9~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9LTHintergrund">
    <w:name w:val="Título9~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0LTGliederung1">
    <w:name w:val="Título10~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0LTGliederung2">
    <w:name w:val="Título10~LT~Gliederung 2"/>
    <w:basedOn w:val="Ttulo10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10LTGliederung3">
    <w:name w:val="Título10~LT~Gliederung 3"/>
    <w:basedOn w:val="Ttulo10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0LTGliederung4">
    <w:name w:val="Título10~LT~Gliederung 4"/>
    <w:basedOn w:val="Ttulo10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Gliederung5">
    <w:name w:val="Título10~LT~Gliederung 5"/>
    <w:basedOn w:val="Ttulo10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Gliederung6">
    <w:name w:val="Título10~LT~Gliederung 6"/>
    <w:basedOn w:val="Ttulo10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Gliederung7">
    <w:name w:val="Título10~LT~Gliederung 7"/>
    <w:basedOn w:val="Ttulo10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Gliederung8">
    <w:name w:val="Título10~LT~Gliederung 8"/>
    <w:basedOn w:val="Ttulo10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Gliederung9">
    <w:name w:val="Título10~LT~Gliederung 9"/>
    <w:basedOn w:val="Ttulo10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0LTTitel">
    <w:name w:val="Título10~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10LTUntertitel">
    <w:name w:val="Título10~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0LTNotizen">
    <w:name w:val="Título10~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0LTHintergrundobjekte">
    <w:name w:val="Título10~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0LTHintergrund">
    <w:name w:val="Título10~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1LTGliederung1">
    <w:name w:val="Título11~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1LTGliederung2">
    <w:name w:val="Título11~LT~Gliederung 2"/>
    <w:basedOn w:val="Ttulo11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192"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1LTGliederung3">
    <w:name w:val="Título11~LT~Gliederung 3"/>
    <w:basedOn w:val="Ttulo11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192"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4">
    <w:name w:val="Título11~LT~Gliederung 4"/>
    <w:basedOn w:val="Ttulo11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192"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5">
    <w:name w:val="Título11~LT~Gliederung 5"/>
    <w:basedOn w:val="Ttulo11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192"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6">
    <w:name w:val="Título11~LT~Gliederung 6"/>
    <w:basedOn w:val="Ttulo11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7">
    <w:name w:val="Título11~LT~Gliederung 7"/>
    <w:basedOn w:val="Ttulo11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8">
    <w:name w:val="Título11~LT~Gliederung 8"/>
    <w:basedOn w:val="Ttulo11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Gliederung9">
    <w:name w:val="Título11~LT~Gliederung 9"/>
    <w:basedOn w:val="Ttulo11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1LTTitel">
    <w:name w:val="Título11~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10" w:after="10"/>
      <w:jc w:val="left"/>
    </w:pPr>
    <w:rPr>
      <w:rFonts w:ascii="Microsoft YaHei" w:hAnsi="Microsoft YaHei" w:eastAsia="Tahoma" w:cs="Arial"/>
      <w:b w:val="false"/>
      <w:i w:val="false"/>
      <w:caps w:val="false"/>
      <w:smallCaps w:val="false"/>
      <w:strike w:val="false"/>
      <w:dstrike w:val="false"/>
      <w:outline w:val="false"/>
      <w:shadow w:val="false"/>
      <w:color w:val="000000"/>
      <w:kern w:val="2"/>
      <w:sz w:val="36"/>
      <w:szCs w:val="24"/>
      <w:u w:val="none"/>
      <w:em w:val="none"/>
      <w:lang w:val="es-MX" w:eastAsia="en-US" w:bidi="ar-SA"/>
    </w:rPr>
  </w:style>
  <w:style w:type="paragraph" w:styleId="Ttulo11LTUntertitel">
    <w:name w:val="Título11~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1LTNotizen">
    <w:name w:val="Título11~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1LTHintergrundobjekte">
    <w:name w:val="Título11~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1LTHintergrund">
    <w:name w:val="Título11~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2LTGliederung1">
    <w:name w:val="Título12~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80"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42"/>
      <w:szCs w:val="24"/>
      <w:u w:val="none"/>
      <w:em w:val="none"/>
      <w:lang w:val="es-MX" w:eastAsia="en-US" w:bidi="ar-SA"/>
    </w:rPr>
  </w:style>
  <w:style w:type="paragraph" w:styleId="Ttulo12LTGliederung2">
    <w:name w:val="Título12~LT~Gliederung 2"/>
    <w:basedOn w:val="Ttulo12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180"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30"/>
      <w:u w:val="none"/>
      <w:em w:val="none"/>
    </w:rPr>
  </w:style>
  <w:style w:type="paragraph" w:styleId="Ttulo12LTGliederung3">
    <w:name w:val="Título12~LT~Gliederung 3"/>
    <w:basedOn w:val="Ttulo12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180"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28"/>
      <w:u w:val="none"/>
      <w:em w:val="none"/>
    </w:rPr>
  </w:style>
  <w:style w:type="paragraph" w:styleId="Ttulo12LTGliederung4">
    <w:name w:val="Título12~LT~Gliederung 4"/>
    <w:basedOn w:val="Ttulo12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180"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28"/>
      <w:u w:val="none"/>
      <w:em w:val="none"/>
    </w:rPr>
  </w:style>
  <w:style w:type="paragraph" w:styleId="Ttulo12LTGliederung5">
    <w:name w:val="Título12~LT~Gliederung 5"/>
    <w:basedOn w:val="Ttulo12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180"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2LTGliederung6">
    <w:name w:val="Título12~LT~Gliederung 6"/>
    <w:basedOn w:val="Ttulo12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2LTGliederung7">
    <w:name w:val="Título12~LT~Gliederung 7"/>
    <w:basedOn w:val="Ttulo12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2LTGliederung8">
    <w:name w:val="Título12~LT~Gliederung 8"/>
    <w:basedOn w:val="Ttulo12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2LTGliederung9">
    <w:name w:val="Título12~LT~Gliederung 9"/>
    <w:basedOn w:val="Ttulo12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2LTTitel">
    <w:name w:val="Título12~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10" w:after="10"/>
      <w:jc w:val="left"/>
    </w:pPr>
    <w:rPr>
      <w:rFonts w:ascii="Microsoft YaHei" w:hAnsi="Microsoft YaHei" w:eastAsia="Tahoma" w:cs="Arial"/>
      <w:b w:val="false"/>
      <w:i w:val="false"/>
      <w:caps w:val="false"/>
      <w:smallCaps w:val="false"/>
      <w:strike w:val="false"/>
      <w:dstrike w:val="false"/>
      <w:outline w:val="false"/>
      <w:shadow w:val="false"/>
      <w:color w:val="000000"/>
      <w:kern w:val="2"/>
      <w:sz w:val="36"/>
      <w:szCs w:val="24"/>
      <w:u w:val="none"/>
      <w:em w:val="none"/>
      <w:lang w:val="es-MX" w:eastAsia="en-US" w:bidi="ar-SA"/>
    </w:rPr>
  </w:style>
  <w:style w:type="paragraph" w:styleId="Ttulo12LTUntertitel">
    <w:name w:val="Título12~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2LTNotizen">
    <w:name w:val="Título12~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2LTHintergrundobjekte">
    <w:name w:val="Título12~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2LTHintergrund">
    <w:name w:val="Título12~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3LTGliederung1">
    <w:name w:val="Título13~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3LTGliederung2">
    <w:name w:val="Título13~LT~Gliederung 2"/>
    <w:basedOn w:val="Ttulo13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192"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3LTGliederung3">
    <w:name w:val="Título13~LT~Gliederung 3"/>
    <w:basedOn w:val="Ttulo13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192"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4">
    <w:name w:val="Título13~LT~Gliederung 4"/>
    <w:basedOn w:val="Ttulo13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192"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5">
    <w:name w:val="Título13~LT~Gliederung 5"/>
    <w:basedOn w:val="Ttulo13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192"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6">
    <w:name w:val="Título13~LT~Gliederung 6"/>
    <w:basedOn w:val="Ttulo13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7">
    <w:name w:val="Título13~LT~Gliederung 7"/>
    <w:basedOn w:val="Ttulo13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8">
    <w:name w:val="Título13~LT~Gliederung 8"/>
    <w:basedOn w:val="Ttulo13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Gliederung9">
    <w:name w:val="Título13~LT~Gliederung 9"/>
    <w:basedOn w:val="Ttulo13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3LTTitel">
    <w:name w:val="Título13~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10" w:after="10"/>
      <w:jc w:val="left"/>
    </w:pPr>
    <w:rPr>
      <w:rFonts w:ascii="Microsoft YaHei" w:hAnsi="Microsoft YaHei" w:eastAsia="Tahoma" w:cs="Arial"/>
      <w:b w:val="false"/>
      <w:i w:val="false"/>
      <w:caps w:val="false"/>
      <w:smallCaps w:val="false"/>
      <w:strike w:val="false"/>
      <w:dstrike w:val="false"/>
      <w:outline w:val="false"/>
      <w:shadow w:val="false"/>
      <w:color w:val="000000"/>
      <w:kern w:val="2"/>
      <w:sz w:val="40"/>
      <w:szCs w:val="24"/>
      <w:u w:val="none"/>
      <w:em w:val="none"/>
      <w:lang w:val="es-MX" w:eastAsia="en-US" w:bidi="ar-SA"/>
    </w:rPr>
  </w:style>
  <w:style w:type="paragraph" w:styleId="Ttulo13LTUntertitel">
    <w:name w:val="Título13~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3LTNotizen">
    <w:name w:val="Título13~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3LTHintergrundobjekte">
    <w:name w:val="Título13~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3LTHintergrund">
    <w:name w:val="Título13~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4LTGliederung1">
    <w:name w:val="Título14~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4LTGliederung2">
    <w:name w:val="Título14~LT~Gliederung 2"/>
    <w:basedOn w:val="Ttulo14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14LTGliederung3">
    <w:name w:val="Título14~LT~Gliederung 3"/>
    <w:basedOn w:val="Ttulo14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4LTGliederung4">
    <w:name w:val="Título14~LT~Gliederung 4"/>
    <w:basedOn w:val="Ttulo14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Gliederung5">
    <w:name w:val="Título14~LT~Gliederung 5"/>
    <w:basedOn w:val="Ttulo14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Gliederung6">
    <w:name w:val="Título14~LT~Gliederung 6"/>
    <w:basedOn w:val="Ttulo14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Gliederung7">
    <w:name w:val="Título14~LT~Gliederung 7"/>
    <w:basedOn w:val="Ttulo14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Gliederung8">
    <w:name w:val="Título14~LT~Gliederung 8"/>
    <w:basedOn w:val="Ttulo14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Gliederung9">
    <w:name w:val="Título14~LT~Gliederung 9"/>
    <w:basedOn w:val="Ttulo14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4LTTitel">
    <w:name w:val="Título14~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14LTUntertitel">
    <w:name w:val="Título14~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4LTNotizen">
    <w:name w:val="Título14~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4LTHintergrundobjekte">
    <w:name w:val="Título14~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4LTHintergrund">
    <w:name w:val="Título14~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5LTGliederung1">
    <w:name w:val="Título15~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5LTGliederung2">
    <w:name w:val="Título15~LT~Gliederung 2"/>
    <w:basedOn w:val="Ttulo15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218"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56"/>
      <w:u w:val="none"/>
      <w:em w:val="none"/>
    </w:rPr>
  </w:style>
  <w:style w:type="paragraph" w:styleId="Ttulo15LTGliederung3">
    <w:name w:val="Título15~LT~Gliederung 3"/>
    <w:basedOn w:val="Ttulo15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218"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48"/>
      <w:u w:val="none"/>
      <w:em w:val="none"/>
    </w:rPr>
  </w:style>
  <w:style w:type="paragraph" w:styleId="Ttulo15LTGliederung4">
    <w:name w:val="Título15~LT~Gliederung 4"/>
    <w:basedOn w:val="Ttulo15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218"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Gliederung5">
    <w:name w:val="Título15~LT~Gliederung 5"/>
    <w:basedOn w:val="Ttulo15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218"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Gliederung6">
    <w:name w:val="Título15~LT~Gliederung 6"/>
    <w:basedOn w:val="Ttulo15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Gliederung7">
    <w:name w:val="Título15~LT~Gliederung 7"/>
    <w:basedOn w:val="Ttulo15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Gliederung8">
    <w:name w:val="Título15~LT~Gliederung 8"/>
    <w:basedOn w:val="Ttulo15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Gliederung9">
    <w:name w:val="Título15~LT~Gliederung 9"/>
    <w:basedOn w:val="Ttulo15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5LTTitel">
    <w:name w:val="Título15~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jc w:val="center"/>
    </w:pPr>
    <w:rPr>
      <w:rFonts w:ascii="Microsoft YaHei" w:hAnsi="Microsoft YaHei" w:eastAsia="Tahoma" w:cs="Arial"/>
      <w:b w:val="false"/>
      <w:i w:val="false"/>
      <w:caps w:val="false"/>
      <w:smallCaps w:val="false"/>
      <w:strike w:val="false"/>
      <w:dstrike w:val="false"/>
      <w:outline w:val="false"/>
      <w:shadow w:val="false"/>
      <w:color w:val="000000"/>
      <w:kern w:val="2"/>
      <w:sz w:val="88"/>
      <w:szCs w:val="24"/>
      <w:u w:val="none"/>
      <w:em w:val="none"/>
      <w:lang w:val="es-MX" w:eastAsia="en-US" w:bidi="ar-SA"/>
    </w:rPr>
  </w:style>
  <w:style w:type="paragraph" w:styleId="Ttulo15LTUntertitel">
    <w:name w:val="Título15~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5LTNotizen">
    <w:name w:val="Título15~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5LTHintergrundobjekte">
    <w:name w:val="Título15~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5LTHintergrund">
    <w:name w:val="Título15~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Ttulo16LTGliederung1">
    <w:name w:val="Título16~LT~Gliederung 1"/>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80" w:before="293" w:after="10"/>
      <w:ind w:hanging="540" w:left="540"/>
      <w:jc w:val="left"/>
    </w:pPr>
    <w:rPr>
      <w:rFonts w:ascii="Microsoft YaHei" w:hAnsi="Microsoft YaHei" w:eastAsia="Tahoma" w:cs="Arial"/>
      <w:b w:val="false"/>
      <w:i w:val="false"/>
      <w:caps w:val="false"/>
      <w:smallCaps w:val="false"/>
      <w:strike w:val="false"/>
      <w:dstrike w:val="false"/>
      <w:outline w:val="false"/>
      <w:shadow w:val="false"/>
      <w:color w:val="000000"/>
      <w:kern w:val="2"/>
      <w:sz w:val="42"/>
      <w:szCs w:val="24"/>
      <w:u w:val="none"/>
      <w:em w:val="none"/>
      <w:lang w:val="es-MX" w:eastAsia="en-US" w:bidi="ar-SA"/>
    </w:rPr>
  </w:style>
  <w:style w:type="paragraph" w:styleId="Ttulo16LTGliederung2">
    <w:name w:val="Título16~LT~Gliederung 2"/>
    <w:basedOn w:val="Ttulo16LTGliederung1"/>
    <w:qFormat/>
    <w:pPr>
      <w:tabs>
        <w:tab w:val="clear" w:pos="708"/>
        <w:tab w:val="left" w:pos="0"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s>
      <w:bidi w:val="0"/>
      <w:spacing w:lineRule="auto" w:line="180" w:before="235" w:after="10"/>
      <w:ind w:hanging="450" w:left="1170"/>
      <w:jc w:val="left"/>
    </w:pPr>
    <w:rPr>
      <w:rFonts w:ascii="Microsoft YaHei" w:hAnsi="Microsoft YaHei"/>
      <w:b w:val="false"/>
      <w:i w:val="false"/>
      <w:caps w:val="false"/>
      <w:smallCaps w:val="false"/>
      <w:strike w:val="false"/>
      <w:dstrike w:val="false"/>
      <w:outline w:val="false"/>
      <w:shadow w:val="false"/>
      <w:color w:val="000000"/>
      <w:kern w:val="2"/>
      <w:sz w:val="30"/>
      <w:u w:val="none"/>
      <w:em w:val="none"/>
    </w:rPr>
  </w:style>
  <w:style w:type="paragraph" w:styleId="Ttulo16LTGliederung3">
    <w:name w:val="Título16~LT~Gliederung 3"/>
    <w:basedOn w:val="Ttulo16LTGliederung2"/>
    <w:qFormat/>
    <w:pPr>
      <w:tabs>
        <w:tab w:val="clear" w:pos="1415"/>
        <w:tab w:val="left" w:pos="0"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s>
      <w:bidi w:val="0"/>
      <w:spacing w:lineRule="auto" w:line="180" w:before="180" w:after="10"/>
      <w:ind w:hanging="360" w:left="1800"/>
      <w:jc w:val="left"/>
    </w:pPr>
    <w:rPr>
      <w:rFonts w:ascii="Microsoft YaHei" w:hAnsi="Microsoft YaHei"/>
      <w:b w:val="false"/>
      <w:i w:val="false"/>
      <w:caps w:val="false"/>
      <w:smallCaps w:val="false"/>
      <w:strike w:val="false"/>
      <w:dstrike w:val="false"/>
      <w:outline w:val="false"/>
      <w:shadow w:val="false"/>
      <w:color w:val="000000"/>
      <w:kern w:val="2"/>
      <w:sz w:val="28"/>
      <w:u w:val="none"/>
      <w:em w:val="none"/>
    </w:rPr>
  </w:style>
  <w:style w:type="paragraph" w:styleId="Ttulo16LTGliederung4">
    <w:name w:val="Título16~LT~Gliederung 4"/>
    <w:basedOn w:val="Ttulo16LTGliederung3"/>
    <w:qFormat/>
    <w:pPr>
      <w:tabs>
        <w:tab w:val="clear" w:pos="2123"/>
        <w:tab w:val="left" w:pos="0"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s>
      <w:bidi w:val="0"/>
      <w:spacing w:lineRule="auto" w:line="180" w:before="122" w:after="10"/>
      <w:ind w:hanging="360" w:left="2520"/>
      <w:jc w:val="left"/>
    </w:pPr>
    <w:rPr>
      <w:rFonts w:ascii="Microsoft YaHei" w:hAnsi="Microsoft YaHei"/>
      <w:b w:val="false"/>
      <w:i w:val="false"/>
      <w:caps w:val="false"/>
      <w:smallCaps w:val="false"/>
      <w:strike w:val="false"/>
      <w:dstrike w:val="false"/>
      <w:outline w:val="false"/>
      <w:shadow w:val="false"/>
      <w:color w:val="000000"/>
      <w:kern w:val="2"/>
      <w:sz w:val="28"/>
      <w:u w:val="none"/>
      <w:em w:val="none"/>
    </w:rPr>
  </w:style>
  <w:style w:type="paragraph" w:styleId="Ttulo16LTGliederung5">
    <w:name w:val="Título16~LT~Gliederung 5"/>
    <w:basedOn w:val="Ttulo16LTGliederung4"/>
    <w:qFormat/>
    <w:pPr>
      <w:tabs>
        <w:tab w:val="clear" w:pos="2830"/>
        <w:tab w:val="left" w:pos="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 w:val="left" w:pos="14858" w:leader="none"/>
        <w:tab w:val="left" w:pos="15565" w:leader="none"/>
        <w:tab w:val="left" w:pos="16273" w:leader="none"/>
        <w:tab w:val="left" w:pos="16980" w:leader="none"/>
      </w:tabs>
      <w:bidi w:val="0"/>
      <w:spacing w:lineRule="auto" w:line="180" w:before="65" w:after="10"/>
      <w:ind w:hanging="360" w:left="324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6LTGliederung6">
    <w:name w:val="Título16~LT~Gliederung 6"/>
    <w:basedOn w:val="Ttulo16LTGliederung5"/>
    <w:qFormat/>
    <w:pPr>
      <w:tabs>
        <w:tab w:val="clear" w:pos="0"/>
        <w:tab w:val="clear" w:pos="3538"/>
        <w:tab w:val="clear" w:pos="4245"/>
        <w:tab w:val="clear" w:pos="4953"/>
        <w:tab w:val="clear" w:pos="5660"/>
        <w:tab w:val="clear" w:pos="6368"/>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clear" w:pos="14858"/>
        <w:tab w:val="clear" w:pos="15565"/>
        <w:tab w:val="clear" w:pos="16273"/>
        <w:tab w:val="clear" w:pos="16980"/>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6LTGliederung7">
    <w:name w:val="Título16~LT~Gliederung 7"/>
    <w:basedOn w:val="Ttulo16LTGliederung6"/>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6LTGliederung8">
    <w:name w:val="Título16~LT~Gliederung 8"/>
    <w:basedOn w:val="Ttulo16LTGliederung7"/>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6LTGliederung9">
    <w:name w:val="Título16~LT~Gliederung 9"/>
    <w:basedOn w:val="Ttulo16LTGliederung8"/>
    <w:qFormat/>
    <w:pPr>
      <w:bidi w:val="0"/>
      <w:spacing w:lineRule="auto" w:line="240" w:before="100" w:after="0"/>
      <w:jc w:val="left"/>
    </w:pPr>
    <w:rPr>
      <w:rFonts w:ascii="Microsoft YaHei" w:hAnsi="Microsoft YaHei"/>
      <w:b w:val="false"/>
      <w:i w:val="false"/>
      <w:caps w:val="false"/>
      <w:smallCaps w:val="false"/>
      <w:strike w:val="false"/>
      <w:dstrike w:val="false"/>
      <w:outline w:val="false"/>
      <w:shadow w:val="false"/>
      <w:color w:val="000000"/>
      <w:kern w:val="2"/>
      <w:sz w:val="40"/>
      <w:u w:val="none"/>
      <w:em w:val="none"/>
    </w:rPr>
  </w:style>
  <w:style w:type="paragraph" w:styleId="Ttulo16LTTitel">
    <w:name w:val="Título16~LT~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192" w:before="10" w:after="10"/>
      <w:jc w:val="left"/>
    </w:pPr>
    <w:rPr>
      <w:rFonts w:ascii="Microsoft YaHei" w:hAnsi="Microsoft YaHei" w:eastAsia="Tahoma" w:cs="Arial"/>
      <w:b w:val="false"/>
      <w:i w:val="false"/>
      <w:caps w:val="false"/>
      <w:smallCaps w:val="false"/>
      <w:strike w:val="false"/>
      <w:dstrike w:val="false"/>
      <w:outline w:val="false"/>
      <w:shadow w:val="false"/>
      <w:color w:val="000000"/>
      <w:kern w:val="2"/>
      <w:sz w:val="36"/>
      <w:szCs w:val="24"/>
      <w:u w:val="none"/>
      <w:em w:val="none"/>
      <w:lang w:val="es-MX" w:eastAsia="en-US" w:bidi="ar-SA"/>
    </w:rPr>
  </w:style>
  <w:style w:type="paragraph" w:styleId="Ttulo16LTUntertitel">
    <w:name w:val="Título16~LT~Untertitel"/>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18" w:before="10" w:after="10"/>
      <w:ind w:hanging="540" w:left="540"/>
      <w:jc w:val="center"/>
    </w:pPr>
    <w:rPr>
      <w:rFonts w:ascii="Microsoft YaHei" w:hAnsi="Microsoft YaHei" w:eastAsia="Tahoma" w:cs="Arial"/>
      <w:b w:val="false"/>
      <w:i w:val="false"/>
      <w:caps w:val="false"/>
      <w:smallCaps w:val="false"/>
      <w:strike w:val="false"/>
      <w:dstrike w:val="false"/>
      <w:outline w:val="false"/>
      <w:shadow w:val="false"/>
      <w:color w:val="000000"/>
      <w:kern w:val="2"/>
      <w:sz w:val="64"/>
      <w:szCs w:val="24"/>
      <w:u w:val="none"/>
      <w:em w:val="none"/>
      <w:lang w:val="es-MX" w:eastAsia="en-US" w:bidi="ar-SA"/>
    </w:rPr>
  </w:style>
  <w:style w:type="paragraph" w:styleId="Ttulo16LTNotizen">
    <w:name w:val="Título16~LT~Notizen"/>
    <w:qFormat/>
    <w:pPr>
      <w:widowControl/>
      <w:tabs>
        <w:tab w:val="left" w:pos="0" w:leader="none"/>
        <w:tab w:val="left" w:pos="708" w:leader="none"/>
        <w:tab w:val="left" w:pos="1415" w:leader="none"/>
        <w:tab w:val="left" w:pos="2123" w:leader="none"/>
        <w:tab w:val="left" w:pos="2830" w:leader="none"/>
        <w:tab w:val="left" w:pos="3538" w:leader="none"/>
        <w:tab w:val="left" w:pos="4245" w:leader="none"/>
        <w:tab w:val="left" w:pos="4953" w:leader="none"/>
        <w:tab w:val="left" w:pos="5660" w:leader="none"/>
        <w:tab w:val="left" w:pos="6368" w:leader="none"/>
        <w:tab w:val="left" w:pos="7075" w:leader="none"/>
        <w:tab w:val="left" w:pos="7782" w:leader="none"/>
        <w:tab w:val="left" w:pos="8490" w:leader="none"/>
        <w:tab w:val="left" w:pos="9197" w:leader="none"/>
        <w:tab w:val="left" w:pos="9905" w:leader="none"/>
        <w:tab w:val="left" w:pos="10612" w:leader="none"/>
        <w:tab w:val="left" w:pos="11320" w:leader="none"/>
        <w:tab w:val="left" w:pos="12027" w:leader="none"/>
        <w:tab w:val="left" w:pos="12735" w:leader="none"/>
        <w:tab w:val="left" w:pos="13442" w:leader="none"/>
        <w:tab w:val="left" w:pos="14150" w:leader="none"/>
      </w:tabs>
      <w:suppressAutoHyphens w:val="true"/>
      <w:overflowPunct w:val="false"/>
      <w:bidi w:val="0"/>
      <w:spacing w:lineRule="auto" w:line="240" w:before="90" w:after="0"/>
      <w:jc w:val="left"/>
    </w:pPr>
    <w:rPr>
      <w:rFonts w:ascii="Arial" w:hAnsi="Arial" w:eastAsia="Tahoma" w:cs="Arial"/>
      <w:b w:val="false"/>
      <w:i w:val="false"/>
      <w:caps w:val="false"/>
      <w:smallCaps w:val="false"/>
      <w:strike w:val="false"/>
      <w:dstrike w:val="false"/>
      <w:outline w:val="false"/>
      <w:shadow w:val="false"/>
      <w:color w:val="000000"/>
      <w:kern w:val="2"/>
      <w:sz w:val="24"/>
      <w:szCs w:val="24"/>
      <w:u w:val="none"/>
      <w:em w:val="none"/>
      <w:lang w:val="es-MX" w:eastAsia="en-US" w:bidi="ar-SA"/>
    </w:rPr>
  </w:style>
  <w:style w:type="paragraph" w:styleId="Ttulo16LTHintergrundobjekte">
    <w:name w:val="Título16~LT~Hintergrundobjekte"/>
    <w:qFormat/>
    <w:pPr>
      <w:widowControl/>
      <w:suppressAutoHyphens w:val="true"/>
      <w:overflowPunct w:val="false"/>
      <w:bidi w:val="0"/>
      <w:spacing w:before="0" w:after="0"/>
      <w:jc w:val="left"/>
    </w:pPr>
    <w:rPr>
      <w:rFonts w:ascii="Liberation Serif" w:hAnsi="Liberation Serif" w:eastAsia="Tahoma" w:cs="Arial"/>
      <w:color w:val="auto"/>
      <w:kern w:val="2"/>
      <w:sz w:val="24"/>
      <w:szCs w:val="24"/>
      <w:lang w:val="es-MX" w:eastAsia="en-US" w:bidi="ar-SA"/>
    </w:rPr>
  </w:style>
  <w:style w:type="paragraph" w:styleId="Ttulo16LTHintergrund">
    <w:name w:val="Título16~LT~Hintergrund"/>
    <w:qFormat/>
    <w:pPr>
      <w:widowControl/>
      <w:suppressAutoHyphens w:val="true"/>
      <w:overflowPunct w:val="false"/>
      <w:bidi w:val="0"/>
      <w:spacing w:before="0" w:after="0"/>
      <w:jc w:val="center"/>
    </w:pPr>
    <w:rPr>
      <w:rFonts w:ascii="Liberation Serif" w:hAnsi="Liberation Serif" w:eastAsia="Tahoma" w:cs="Arial"/>
      <w:color w:val="auto"/>
      <w:kern w:val="0"/>
      <w:sz w:val="24"/>
      <w:szCs w:val="24"/>
      <w:lang w:val="es-MX" w:eastAsia="en-US" w:bidi="ar-SA"/>
    </w:rPr>
  </w:style>
  <w:style w:type="paragraph" w:styleId="DiapositivadettuloLTGliederung1">
    <w:name w:val="Diapositiva de títul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DiapositivadettuloLTGliederung2">
    <w:name w:val="Diapositiva de título~LT~Gliederung 2"/>
    <w:basedOn w:val="Diapositivadettul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DiapositivadettuloLTGliederung3">
    <w:name w:val="Diapositiva de título~LT~Gliederung 3"/>
    <w:basedOn w:val="Diapositivadettul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DiapositivadettuloLTGliederung4">
    <w:name w:val="Diapositiva de título~LT~Gliederung 4"/>
    <w:basedOn w:val="Diapositivadettul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Gliederung5">
    <w:name w:val="Diapositiva de título~LT~Gliederung 5"/>
    <w:basedOn w:val="Diapositivadettul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Gliederung6">
    <w:name w:val="Diapositiva de título~LT~Gliederung 6"/>
    <w:basedOn w:val="Diapositivadettul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Gliederung7">
    <w:name w:val="Diapositiva de título~LT~Gliederung 7"/>
    <w:basedOn w:val="Diapositivadettul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Gliederung8">
    <w:name w:val="Diapositiva de título~LT~Gliederung 8"/>
    <w:basedOn w:val="Diapositivadettul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Gliederung9">
    <w:name w:val="Diapositiva de título~LT~Gliederung 9"/>
    <w:basedOn w:val="Diapositivadettul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iapositivadettuloLTTitel">
    <w:name w:val="Diapositiva de títul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DiapositivadettuloLTUntertitel">
    <w:name w:val="Diapositiva de títul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DiapositivadettuloLTNotizen">
    <w:name w:val="Diapositiva de títul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DiapositivadettuloLTHintergrundobjekte">
    <w:name w:val="Diapositiva de títul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DiapositivadettuloLTHintergrund">
    <w:name w:val="Diapositiva de títul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ytextoverticalLTGliederung1">
    <w:name w:val="Título y texto vertical~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TtuloytextoverticalLTGliederung2">
    <w:name w:val="Título y texto vertical~LT~Gliederung 2"/>
    <w:basedOn w:val="Ttuloytextovertical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TtuloytextoverticalLTGliederung3">
    <w:name w:val="Título y texto vertical~LT~Gliederung 3"/>
    <w:basedOn w:val="Ttuloytextovertical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TtuloytextoverticalLTGliederung4">
    <w:name w:val="Título y texto vertical~LT~Gliederung 4"/>
    <w:basedOn w:val="Ttuloytextovertical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Gliederung5">
    <w:name w:val="Título y texto vertical~LT~Gliederung 5"/>
    <w:basedOn w:val="Ttuloytextovertical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Gliederung6">
    <w:name w:val="Título y texto vertical~LT~Gliederung 6"/>
    <w:basedOn w:val="Ttuloytextovertical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Gliederung7">
    <w:name w:val="Título y texto vertical~LT~Gliederung 7"/>
    <w:basedOn w:val="Ttuloytextovertical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Gliederung8">
    <w:name w:val="Título y texto vertical~LT~Gliederung 8"/>
    <w:basedOn w:val="Ttuloytextovertical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Gliederung9">
    <w:name w:val="Título y texto vertical~LT~Gliederung 9"/>
    <w:basedOn w:val="Ttuloytextovertical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textoverticalLTTitel">
    <w:name w:val="Título y texto vertical~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TtuloytextoverticalLTUntertitel">
    <w:name w:val="Título y texto vertical~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TtuloytextoverticalLTNotizen">
    <w:name w:val="Título y texto vertical~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TtuloytextoverticalLTHintergrundobjekte">
    <w:name w:val="Título y texto vertical~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ytextoverticalLTHintergrund">
    <w:name w:val="Título y texto vertical~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verticalytextoLTGliederung1">
    <w:name w:val="Título vertical y text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TtuloverticalytextoLTGliederung2">
    <w:name w:val="Título vertical y texto~LT~Gliederung 2"/>
    <w:basedOn w:val="Ttuloverticalytext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TtuloverticalytextoLTGliederung3">
    <w:name w:val="Título vertical y texto~LT~Gliederung 3"/>
    <w:basedOn w:val="Ttuloverticalytext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TtuloverticalytextoLTGliederung4">
    <w:name w:val="Título vertical y texto~LT~Gliederung 4"/>
    <w:basedOn w:val="Ttuloverticalytext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Gliederung5">
    <w:name w:val="Título vertical y texto~LT~Gliederung 5"/>
    <w:basedOn w:val="Ttuloverticalytext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Gliederung6">
    <w:name w:val="Título vertical y texto~LT~Gliederung 6"/>
    <w:basedOn w:val="Ttuloverticalytext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Gliederung7">
    <w:name w:val="Título vertical y texto~LT~Gliederung 7"/>
    <w:basedOn w:val="Ttuloverticalytext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Gliederung8">
    <w:name w:val="Título vertical y texto~LT~Gliederung 8"/>
    <w:basedOn w:val="Ttuloverticalytext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Gliederung9">
    <w:name w:val="Título vertical y texto~LT~Gliederung 9"/>
    <w:basedOn w:val="Ttuloverticalytext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verticalytextoLTTitel">
    <w:name w:val="Título vertical y text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TtuloverticalytextoLTUntertitel">
    <w:name w:val="Título vertical y text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TtuloverticalytextoLTNotizen">
    <w:name w:val="Título vertical y text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TtuloverticalytextoLTHintergrundobjekte">
    <w:name w:val="Título vertical y text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verticalytextoLTHintergrund">
    <w:name w:val="Título vertical y text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yobjetosLTGliederung1">
    <w:name w:val="Título y objetos~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TtuloyobjetosLTGliederung2">
    <w:name w:val="Título y objetos~LT~Gliederung 2"/>
    <w:basedOn w:val="Ttuloyobjetos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TtuloyobjetosLTGliederung3">
    <w:name w:val="Título y objetos~LT~Gliederung 3"/>
    <w:basedOn w:val="Ttuloyobjetos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TtuloyobjetosLTGliederung4">
    <w:name w:val="Título y objetos~LT~Gliederung 4"/>
    <w:basedOn w:val="Ttuloyobjetos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Gliederung5">
    <w:name w:val="Título y objetos~LT~Gliederung 5"/>
    <w:basedOn w:val="Ttuloyobjetos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Gliederung6">
    <w:name w:val="Título y objetos~LT~Gliederung 6"/>
    <w:basedOn w:val="Ttuloyobjetos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Gliederung7">
    <w:name w:val="Título y objetos~LT~Gliederung 7"/>
    <w:basedOn w:val="Ttuloyobjetos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Gliederung8">
    <w:name w:val="Título y objetos~LT~Gliederung 8"/>
    <w:basedOn w:val="Ttuloyobjetos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Gliederung9">
    <w:name w:val="Título y objetos~LT~Gliederung 9"/>
    <w:basedOn w:val="Ttuloyobjetos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TtuloyobjetosLTTitel">
    <w:name w:val="Título y objetos~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TtuloyobjetosLTUntertitel">
    <w:name w:val="Título y objetos~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TtuloyobjetosLTNotizen">
    <w:name w:val="Título y objetos~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TtuloyobjetosLTHintergrundobjekte">
    <w:name w:val="Título y objetos~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TtuloyobjetosLTHintergrund">
    <w:name w:val="Título y objetos~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EncabezadodeseccinLTGliederung1">
    <w:name w:val="Encabezado de sección~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EncabezadodeseccinLTGliederung2">
    <w:name w:val="Encabezado de sección~LT~Gliederung 2"/>
    <w:basedOn w:val="Encabezadodeseccin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EncabezadodeseccinLTGliederung3">
    <w:name w:val="Encabezado de sección~LT~Gliederung 3"/>
    <w:basedOn w:val="Encabezadodeseccin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EncabezadodeseccinLTGliederung4">
    <w:name w:val="Encabezado de sección~LT~Gliederung 4"/>
    <w:basedOn w:val="Encabezadodeseccin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Gliederung5">
    <w:name w:val="Encabezado de sección~LT~Gliederung 5"/>
    <w:basedOn w:val="Encabezadodeseccin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Gliederung6">
    <w:name w:val="Encabezado de sección~LT~Gliederung 6"/>
    <w:basedOn w:val="Encabezadodeseccin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Gliederung7">
    <w:name w:val="Encabezado de sección~LT~Gliederung 7"/>
    <w:basedOn w:val="Encabezadodeseccin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Gliederung8">
    <w:name w:val="Encabezado de sección~LT~Gliederung 8"/>
    <w:basedOn w:val="Encabezadodeseccin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Gliederung9">
    <w:name w:val="Encabezado de sección~LT~Gliederung 9"/>
    <w:basedOn w:val="Encabezadodeseccin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cabezadodeseccinLTTitel">
    <w:name w:val="Encabezado de sección~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EncabezadodeseccinLTUntertitel">
    <w:name w:val="Encabezado de sección~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EncabezadodeseccinLTNotizen">
    <w:name w:val="Encabezado de sección~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EncabezadodeseccinLTHintergrundobjekte">
    <w:name w:val="Encabezado de sección~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EncabezadodeseccinLTHintergrund">
    <w:name w:val="Encabezado de sección~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DosobjetosLTGliederung1">
    <w:name w:val="Dos objetos~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DosobjetosLTGliederung2">
    <w:name w:val="Dos objetos~LT~Gliederung 2"/>
    <w:basedOn w:val="Dosobjetos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DosobjetosLTGliederung3">
    <w:name w:val="Dos objetos~LT~Gliederung 3"/>
    <w:basedOn w:val="Dosobjetos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DosobjetosLTGliederung4">
    <w:name w:val="Dos objetos~LT~Gliederung 4"/>
    <w:basedOn w:val="Dosobjetos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Gliederung5">
    <w:name w:val="Dos objetos~LT~Gliederung 5"/>
    <w:basedOn w:val="Dosobjetos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Gliederung6">
    <w:name w:val="Dos objetos~LT~Gliederung 6"/>
    <w:basedOn w:val="Dosobjetos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Gliederung7">
    <w:name w:val="Dos objetos~LT~Gliederung 7"/>
    <w:basedOn w:val="Dosobjetos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Gliederung8">
    <w:name w:val="Dos objetos~LT~Gliederung 8"/>
    <w:basedOn w:val="Dosobjetos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Gliederung9">
    <w:name w:val="Dos objetos~LT~Gliederung 9"/>
    <w:basedOn w:val="Dosobjetos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DosobjetosLTTitel">
    <w:name w:val="Dos objetos~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DosobjetosLTUntertitel">
    <w:name w:val="Dos objetos~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DosobjetosLTNotizen">
    <w:name w:val="Dos objetos~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DosobjetosLTHintergrundobjekte">
    <w:name w:val="Dos objetos~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DosobjetosLTHintergrund">
    <w:name w:val="Dos objetos~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ComparacinLTGliederung1">
    <w:name w:val="Comparación~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ComparacinLTGliederung2">
    <w:name w:val="Comparación~LT~Gliederung 2"/>
    <w:basedOn w:val="Comparacin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ComparacinLTGliederung3">
    <w:name w:val="Comparación~LT~Gliederung 3"/>
    <w:basedOn w:val="Comparacin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ComparacinLTGliederung4">
    <w:name w:val="Comparación~LT~Gliederung 4"/>
    <w:basedOn w:val="Comparacin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Gliederung5">
    <w:name w:val="Comparación~LT~Gliederung 5"/>
    <w:basedOn w:val="Comparacin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Gliederung6">
    <w:name w:val="Comparación~LT~Gliederung 6"/>
    <w:basedOn w:val="Comparacin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Gliederung7">
    <w:name w:val="Comparación~LT~Gliederung 7"/>
    <w:basedOn w:val="Comparacin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Gliederung8">
    <w:name w:val="Comparación~LT~Gliederung 8"/>
    <w:basedOn w:val="Comparacin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Gliederung9">
    <w:name w:val="Comparación~LT~Gliederung 9"/>
    <w:basedOn w:val="Comparacin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mparacinLTTitel">
    <w:name w:val="Comparación~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ComparacinLTUntertitel">
    <w:name w:val="Comparación~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ComparacinLTNotizen">
    <w:name w:val="Comparación~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ComparacinLTHintergrundobjekte">
    <w:name w:val="Comparación~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ComparacinLTHintergrund">
    <w:name w:val="Comparación~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SoloelttuloLTGliederung1">
    <w:name w:val="Solo el títul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SoloelttuloLTGliederung2">
    <w:name w:val="Solo el título~LT~Gliederung 2"/>
    <w:basedOn w:val="Soloelttul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SoloelttuloLTGliederung3">
    <w:name w:val="Solo el título~LT~Gliederung 3"/>
    <w:basedOn w:val="Soloelttul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SoloelttuloLTGliederung4">
    <w:name w:val="Solo el título~LT~Gliederung 4"/>
    <w:basedOn w:val="Soloelttul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Gliederung5">
    <w:name w:val="Solo el título~LT~Gliederung 5"/>
    <w:basedOn w:val="Soloelttul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Gliederung6">
    <w:name w:val="Solo el título~LT~Gliederung 6"/>
    <w:basedOn w:val="Soloelttul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Gliederung7">
    <w:name w:val="Solo el título~LT~Gliederung 7"/>
    <w:basedOn w:val="Soloelttul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Gliederung8">
    <w:name w:val="Solo el título~LT~Gliederung 8"/>
    <w:basedOn w:val="Soloelttul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Gliederung9">
    <w:name w:val="Solo el título~LT~Gliederung 9"/>
    <w:basedOn w:val="Soloelttul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SoloelttuloLTTitel">
    <w:name w:val="Solo el títul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SoloelttuloLTUntertitel">
    <w:name w:val="Solo el títul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SoloelttuloLTNotizen">
    <w:name w:val="Solo el títul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SoloelttuloLTHintergrundobjekte">
    <w:name w:val="Solo el títul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SoloelttuloLTHintergrund">
    <w:name w:val="Solo el títul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EnblancoLTGliederung1">
    <w:name w:val="En blanc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EnblancoLTGliederung2">
    <w:name w:val="En blanco~LT~Gliederung 2"/>
    <w:basedOn w:val="Enblanc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EnblancoLTGliederung3">
    <w:name w:val="En blanco~LT~Gliederung 3"/>
    <w:basedOn w:val="Enblanc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EnblancoLTGliederung4">
    <w:name w:val="En blanco~LT~Gliederung 4"/>
    <w:basedOn w:val="Enblanc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Gliederung5">
    <w:name w:val="En blanco~LT~Gliederung 5"/>
    <w:basedOn w:val="Enblanc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Gliederung6">
    <w:name w:val="En blanco~LT~Gliederung 6"/>
    <w:basedOn w:val="Enblanc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Gliederung7">
    <w:name w:val="En blanco~LT~Gliederung 7"/>
    <w:basedOn w:val="Enblanc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Gliederung8">
    <w:name w:val="En blanco~LT~Gliederung 8"/>
    <w:basedOn w:val="Enblanc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Gliederung9">
    <w:name w:val="En blanco~LT~Gliederung 9"/>
    <w:basedOn w:val="Enblanc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EnblancoLTTitel">
    <w:name w:val="En blanc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EnblancoLTUntertitel">
    <w:name w:val="En blanc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EnblancoLTNotizen">
    <w:name w:val="En blanc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EnblancoLTHintergrundobjekte">
    <w:name w:val="En blanc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EnblancoLTHintergrund">
    <w:name w:val="En blanc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ContenidoconttuloLTGliederung1">
    <w:name w:val="Contenido con títul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ContenidoconttuloLTGliederung2">
    <w:name w:val="Contenido con título~LT~Gliederung 2"/>
    <w:basedOn w:val="Contenidoconttul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ContenidoconttuloLTGliederung3">
    <w:name w:val="Contenido con título~LT~Gliederung 3"/>
    <w:basedOn w:val="Contenidoconttul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ContenidoconttuloLTGliederung4">
    <w:name w:val="Contenido con título~LT~Gliederung 4"/>
    <w:basedOn w:val="Contenidoconttul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Gliederung5">
    <w:name w:val="Contenido con título~LT~Gliederung 5"/>
    <w:basedOn w:val="Contenidoconttul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Gliederung6">
    <w:name w:val="Contenido con título~LT~Gliederung 6"/>
    <w:basedOn w:val="Contenidoconttul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Gliederung7">
    <w:name w:val="Contenido con título~LT~Gliederung 7"/>
    <w:basedOn w:val="Contenidoconttul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Gliederung8">
    <w:name w:val="Contenido con título~LT~Gliederung 8"/>
    <w:basedOn w:val="Contenidoconttul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Gliederung9">
    <w:name w:val="Contenido con título~LT~Gliederung 9"/>
    <w:basedOn w:val="Contenidoconttul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ContenidoconttuloLTTitel">
    <w:name w:val="Contenido con títul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ContenidoconttuloLTUntertitel">
    <w:name w:val="Contenido con títul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ContenidoconttuloLTNotizen">
    <w:name w:val="Contenido con títul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ContenidoconttuloLTHintergrundobjekte">
    <w:name w:val="Contenido con títul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ContenidoconttuloLTHintergrund">
    <w:name w:val="Contenido con títul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ImagenconttuloLTGliederung1">
    <w:name w:val="Imagen con título~LT~Gliederung 1"/>
    <w:qFormat/>
    <w:pPr>
      <w:widowControl/>
      <w:suppressAutoHyphens w:val="true"/>
      <w:overflowPunct w:val="false"/>
      <w:bidi w:val="0"/>
      <w:spacing w:before="283" w:after="0"/>
      <w:jc w:val="left"/>
    </w:pPr>
    <w:rPr>
      <w:rFonts w:ascii="Arial" w:hAnsi="Arial" w:eastAsia="Tahoma" w:cs="Calibri"/>
      <w:b w:val="false"/>
      <w:i w:val="false"/>
      <w:caps w:val="false"/>
      <w:smallCaps w:val="false"/>
      <w:strike w:val="false"/>
      <w:dstrike w:val="false"/>
      <w:outline w:val="false"/>
      <w:shadow w:val="false"/>
      <w:color w:val="auto"/>
      <w:spacing w:val="0"/>
      <w:kern w:val="2"/>
      <w:sz w:val="64"/>
      <w:szCs w:val="24"/>
      <w:u w:val="none"/>
      <w:em w:val="none"/>
      <w:lang w:val="es-MX" w:eastAsia="en-US" w:bidi="ar-SA"/>
    </w:rPr>
  </w:style>
  <w:style w:type="paragraph" w:styleId="ImagenconttuloLTGliederung2">
    <w:name w:val="Imagen con título~LT~Gliederung 2"/>
    <w:basedOn w:val="ImagenconttuloLTGliederung1"/>
    <w:qFormat/>
    <w:pPr>
      <w:spacing w:before="227" w:after="0"/>
    </w:pPr>
    <w:rPr>
      <w:rFonts w:ascii="Arial" w:hAnsi="Arial"/>
      <w:b w:val="false"/>
      <w:i w:val="false"/>
      <w:caps w:val="false"/>
      <w:smallCaps w:val="false"/>
      <w:strike w:val="false"/>
      <w:dstrike w:val="false"/>
      <w:outline w:val="false"/>
      <w:shadow w:val="false"/>
      <w:color w:val="auto"/>
      <w:spacing w:val="0"/>
      <w:kern w:val="2"/>
      <w:sz w:val="56"/>
      <w:u w:val="none"/>
      <w:em w:val="none"/>
    </w:rPr>
  </w:style>
  <w:style w:type="paragraph" w:styleId="ImagenconttuloLTGliederung3">
    <w:name w:val="Imagen con título~LT~Gliederung 3"/>
    <w:basedOn w:val="ImagenconttuloLTGliederung2"/>
    <w:qFormat/>
    <w:pPr>
      <w:spacing w:before="170" w:after="0"/>
    </w:pPr>
    <w:rPr>
      <w:rFonts w:ascii="Arial" w:hAnsi="Arial"/>
      <w:b w:val="false"/>
      <w:i w:val="false"/>
      <w:caps w:val="false"/>
      <w:smallCaps w:val="false"/>
      <w:strike w:val="false"/>
      <w:dstrike w:val="false"/>
      <w:outline w:val="false"/>
      <w:shadow w:val="false"/>
      <w:color w:val="auto"/>
      <w:spacing w:val="0"/>
      <w:kern w:val="2"/>
      <w:sz w:val="48"/>
      <w:u w:val="none"/>
      <w:em w:val="none"/>
    </w:rPr>
  </w:style>
  <w:style w:type="paragraph" w:styleId="ImagenconttuloLTGliederung4">
    <w:name w:val="Imagen con título~LT~Gliederung 4"/>
    <w:basedOn w:val="ImagenconttuloLTGliederung3"/>
    <w:qFormat/>
    <w:pPr>
      <w:spacing w:before="113"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Gliederung5">
    <w:name w:val="Imagen con título~LT~Gliederung 5"/>
    <w:basedOn w:val="ImagenconttuloLTGliederung4"/>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Gliederung6">
    <w:name w:val="Imagen con título~LT~Gliederung 6"/>
    <w:basedOn w:val="ImagenconttuloLTGliederung5"/>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Gliederung7">
    <w:name w:val="Imagen con título~LT~Gliederung 7"/>
    <w:basedOn w:val="ImagenconttuloLTGliederung6"/>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Gliederung8">
    <w:name w:val="Imagen con título~LT~Gliederung 8"/>
    <w:basedOn w:val="ImagenconttuloLTGliederung7"/>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Gliederung9">
    <w:name w:val="Imagen con título~LT~Gliederung 9"/>
    <w:basedOn w:val="ImagenconttuloLTGliederung8"/>
    <w:qFormat/>
    <w:pPr>
      <w:spacing w:before="57" w:after="0"/>
    </w:pPr>
    <w:rPr>
      <w:rFonts w:ascii="Arial" w:hAnsi="Arial"/>
      <w:b w:val="false"/>
      <w:i w:val="false"/>
      <w:caps w:val="false"/>
      <w:smallCaps w:val="false"/>
      <w:strike w:val="false"/>
      <w:dstrike w:val="false"/>
      <w:outline w:val="false"/>
      <w:shadow w:val="false"/>
      <w:color w:val="auto"/>
      <w:spacing w:val="0"/>
      <w:kern w:val="2"/>
      <w:sz w:val="40"/>
      <w:u w:val="none"/>
      <w:em w:val="none"/>
    </w:rPr>
  </w:style>
  <w:style w:type="paragraph" w:styleId="ImagenconttuloLTTitel">
    <w:name w:val="Imagen con título~LT~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spacing w:val="0"/>
      <w:kern w:val="2"/>
      <w:sz w:val="88"/>
      <w:szCs w:val="24"/>
      <w:u w:val="none"/>
      <w:em w:val="none"/>
      <w:lang w:val="es-MX" w:eastAsia="en-US" w:bidi="ar-SA"/>
    </w:rPr>
  </w:style>
  <w:style w:type="paragraph" w:styleId="ImagenconttuloLTUntertitel">
    <w:name w:val="Imagen con título~LT~Untertitel"/>
    <w:qFormat/>
    <w:pPr>
      <w:widowControl/>
      <w:suppressAutoHyphens w:val="true"/>
      <w:overflowPunct w:val="false"/>
      <w:bidi w:val="0"/>
      <w:spacing w:before="0" w:after="0"/>
      <w:jc w:val="center"/>
    </w:pPr>
    <w:rPr>
      <w:rFonts w:ascii="Arial" w:hAnsi="Arial" w:eastAsia="Tahoma" w:cs="Calibri"/>
      <w:b w:val="false"/>
      <w:i w:val="false"/>
      <w:caps w:val="false"/>
      <w:smallCaps w:val="false"/>
      <w:strike w:val="false"/>
      <w:dstrike w:val="false"/>
      <w:outline w:val="false"/>
      <w:shadow w:val="false"/>
      <w:color w:val="auto"/>
      <w:kern w:val="2"/>
      <w:sz w:val="64"/>
      <w:szCs w:val="24"/>
      <w:u w:val="none"/>
      <w:em w:val="none"/>
      <w:lang w:val="es-MX" w:eastAsia="en-US" w:bidi="ar-SA"/>
    </w:rPr>
  </w:style>
  <w:style w:type="paragraph" w:styleId="ImagenconttuloLTNotizen">
    <w:name w:val="Imagen con título~LT~Notizen"/>
    <w:qFormat/>
    <w:pPr>
      <w:widowControl/>
      <w:suppressAutoHyphens w:val="true"/>
      <w:overflowPunct w:val="false"/>
      <w:bidi w:val="0"/>
      <w:spacing w:before="0" w:after="0"/>
      <w:ind w:hanging="340" w:left="340"/>
      <w:jc w:val="left"/>
    </w:pPr>
    <w:rPr>
      <w:rFonts w:ascii="Arial" w:hAnsi="Arial" w:eastAsia="Tahoma" w:cs="Calibri"/>
      <w:b w:val="false"/>
      <w:i w:val="false"/>
      <w:caps w:val="false"/>
      <w:smallCaps w:val="false"/>
      <w:strike w:val="false"/>
      <w:dstrike w:val="false"/>
      <w:outline w:val="false"/>
      <w:shadow w:val="false"/>
      <w:color w:val="auto"/>
      <w:kern w:val="2"/>
      <w:sz w:val="40"/>
      <w:szCs w:val="24"/>
      <w:u w:val="none"/>
      <w:em w:val="none"/>
      <w:lang w:val="es-MX" w:eastAsia="en-US" w:bidi="ar-SA"/>
    </w:rPr>
  </w:style>
  <w:style w:type="paragraph" w:styleId="ImagenconttuloLTHintergrundobjekte">
    <w:name w:val="Imagen con título~LT~Hintergrundobjekte"/>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ImagenconttuloLTHintergrund">
    <w:name w:val="Imagen con título~LT~Hintergrund"/>
    <w:qFormat/>
    <w:pPr>
      <w:widowControl/>
      <w:suppressAutoHyphens w:val="true"/>
      <w:overflowPunct w:val="false"/>
      <w:bidi w:val="0"/>
      <w:spacing w:before="0" w:after="0"/>
      <w:jc w:val="left"/>
    </w:pPr>
    <w:rPr>
      <w:rFonts w:ascii="Liberation Serif" w:hAnsi="Liberation Serif" w:eastAsia="Tahoma" w:cs="Calibri"/>
      <w:color w:val="auto"/>
      <w:kern w:val="2"/>
      <w:sz w:val="24"/>
      <w:szCs w:val="24"/>
      <w:lang w:val="es-MX" w:eastAsia="en-US" w:bidi="ar-SA"/>
    </w:rPr>
  </w:style>
  <w:style w:type="paragraph" w:styleId="Contenidodelatabla">
    <w:name w:val="Contenido de la tabla"/>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1.jpeg"/><Relationship Id="rId5" Type="http://schemas.openxmlformats.org/officeDocument/2006/relationships/image" Target="media/image1.jpeg"/><Relationship Id="rId6" Type="http://schemas.openxmlformats.org/officeDocument/2006/relationships/image" Target="media/image1.jpeg"/><Relationship Id="rId7" Type="http://schemas.openxmlformats.org/officeDocument/2006/relationships/image" Target="media/image1.jpeg"/><Relationship Id="rId8" Type="http://schemas.openxmlformats.org/officeDocument/2006/relationships/image" Target="media/image1.jpeg"/><Relationship Id="rId9" Type="http://schemas.openxmlformats.org/officeDocument/2006/relationships/image" Target="media/image1.jpeg"/><Relationship Id="rId10" Type="http://schemas.openxmlformats.org/officeDocument/2006/relationships/image" Target="media/image1.jpeg"/><Relationship Id="rId11" Type="http://schemas.openxmlformats.org/officeDocument/2006/relationships/image" Target="media/image1.jpeg"/><Relationship Id="rId12" Type="http://schemas.openxmlformats.org/officeDocument/2006/relationships/image" Target="media/image1.jpeg"/><Relationship Id="rId13" Type="http://schemas.openxmlformats.org/officeDocument/2006/relationships/image" Target="media/image1.jpeg"/><Relationship Id="rId14" Type="http://schemas.openxmlformats.org/officeDocument/2006/relationships/hyperlink" Target="http://www.centrodetanatologiaatmandhyana.com/" TargetMode="External"/><Relationship Id="rId15" Type="http://schemas.openxmlformats.org/officeDocument/2006/relationships/image" Target="media/image1.jpeg"/><Relationship Id="rId16" Type="http://schemas.openxmlformats.org/officeDocument/2006/relationships/image" Target="media/image1.jpeg"/><Relationship Id="rId17" Type="http://schemas.openxmlformats.org/officeDocument/2006/relationships/image" Target="media/image1.jpeg"/><Relationship Id="rId18" Type="http://schemas.openxmlformats.org/officeDocument/2006/relationships/image" Target="media/image1.jpeg"/><Relationship Id="rId19" Type="http://schemas.openxmlformats.org/officeDocument/2006/relationships/image" Target="media/image1.jpeg"/><Relationship Id="rId20" Type="http://schemas.openxmlformats.org/officeDocument/2006/relationships/hyperlink" Target="https://incmnsz.mx/descargas/investigacion/tanatologia.pdf" TargetMode="External"/><Relationship Id="rId21" Type="http://schemas.openxmlformats.org/officeDocument/2006/relationships/hyperlink" Target="https://dialnet.unirioja.es/descarga/libro/1019264.pdf" TargetMode="External"/><Relationship Id="rId22" Type="http://schemas.openxmlformats.org/officeDocument/2006/relationships/hyperlink" Target="https://www.researchgate.net/publication/320512768_La_tanatologia_y_sus_campos_de_aplicacion" TargetMode="External"/><Relationship Id="rId23" Type="http://schemas.openxmlformats.org/officeDocument/2006/relationships/hyperlink" Target="https://www.tanatologia-amtac.com/descargas/memorias.pdf" TargetMode="External"/><Relationship Id="rId24" Type="http://schemas.openxmlformats.org/officeDocument/2006/relationships/hyperlink" Target="https://www.uv.es/vguillem/Las_leyes_espirituales.pdf" TargetMode="External"/><Relationship Id="rId25" Type="http://schemas.openxmlformats.org/officeDocument/2006/relationships/hyperlink" Target="https://www.tanatologia-amtac.com/descargas/tesinas/21%20La%20relacion%20personal%20con%20Dios.pdf" TargetMode="External"/><Relationship Id="rId26" Type="http://schemas.openxmlformats.org/officeDocument/2006/relationships/hyperlink" Target="https://repositorio.uta.edu.ec/bitstreams/39b3fd8b-641a-4eb0-b21b-7acd8d52f443/download" TargetMode="External"/><Relationship Id="rId27" Type="http://schemas.openxmlformats.org/officeDocument/2006/relationships/hyperlink" Target="https://gc.scalahed.com/recursos/files/r161r/w25247w/Medicina_Legal_LibroIX_JoseAngelPatito.pdf" TargetMode="External"/><Relationship Id="rId28" Type="http://schemas.openxmlformats.org/officeDocument/2006/relationships/hyperlink" Target="http://www.centrodetanatologiaatmandhyana.com/" TargetMode="External"/><Relationship Id="rId29" Type="http://schemas.openxmlformats.org/officeDocument/2006/relationships/image" Target="media/image1.jpeg"/><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footer" Target="footer3.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otnotes.xml.rels><?xml version="1.0" encoding="UTF-8"?>
<Relationships xmlns="http://schemas.openxmlformats.org/package/2006/relationships"><Relationship Id="rId1" Type="http://schemas.openxmlformats.org/officeDocument/2006/relationships/hyperlink" Target="https://plato.stanford.edu/entries/scientific-method/" TargetMode="Externa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441</TotalTime>
  <Application>LibreOffice/24.2.0.3$Windows_X86_64 LibreOffice_project/da48488a73ddd66ea24cf16bbc4f7b9c08e9bea1</Application>
  <AppVersion>15.0000</AppVersion>
  <Pages>17</Pages>
  <Words>3999</Words>
  <Characters>22455</Characters>
  <CharactersWithSpaces>26388</CharactersWithSpaces>
  <Paragraphs>164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2026-01-07T12:50:00Z</dcterms:created>
  <dc:creator>María Cristina González Moreno</dc:creator>
  <dc:description/>
  <dc:language>es-MX</dc:language>
  <cp:lastModifiedBy/>
  <cp:lastPrinted>2019-07-24T04:16:00Z</cp:lastPrinted>
  <dcterms:modified xsi:type="dcterms:W3CDTF">2026-09-11T13:13:36Z</dcterms:modified>
  <cp:revision>101</cp:revision>
  <dc:subject/>
  <dc:title>tanatología. el camino de regreso a casa: una mirada integrativa</dc:title>
</cp:coreProperties>
</file>

<file path=docProps/custom.xml><?xml version="1.0" encoding="utf-8"?>
<Properties xmlns="http://schemas.openxmlformats.org/officeDocument/2006/custom-properties" xmlns:vt="http://schemas.openxmlformats.org/officeDocument/2006/docPropsVTypes"/>
</file>