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ascii="Soberana Sans" w:eastAsia="Soberana Sans" w:hAnsi="Soberana Sans" w:cs="Soberana Sans"/>
          <w:b/>
          <w:sz w:val="28"/>
          <w:szCs w:val="28"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ascii="Arial" w:hAnsi="Arial"/>
        </w:rPr>
      </w:pPr>
    </w:p>
    <w:p w:rsidR="00F3721A" w:rsidRDefault="00F9592F">
      <w:pPr>
        <w:pStyle w:val="normal1"/>
        <w:spacing w:after="0" w:line="240" w:lineRule="auto"/>
        <w:ind w:left="-283" w:right="-220"/>
        <w:jc w:val="center"/>
        <w:rPr>
          <w:rFonts w:ascii="Arial" w:hAnsi="Arial"/>
          <w:sz w:val="30"/>
          <w:szCs w:val="30"/>
        </w:rPr>
      </w:pPr>
      <w:r>
        <w:rPr>
          <w:rFonts w:ascii="Arial" w:eastAsia="Times New Roman" w:hAnsi="Arial" w:cs="Times New Roman"/>
          <w:b/>
          <w:sz w:val="30"/>
          <w:szCs w:val="30"/>
        </w:rPr>
        <w:t>Centro de Tanatología Atman Dhyana.</w:t>
      </w:r>
      <w:r>
        <w:rPr>
          <w:rStyle w:val="Refdenotaalpie"/>
          <w:rFonts w:ascii="Arial" w:eastAsia="Times New Roman" w:hAnsi="Arial" w:cs="Times New Roman"/>
          <w:b/>
          <w:sz w:val="30"/>
          <w:szCs w:val="30"/>
        </w:rPr>
        <w:footnoteReference w:id="1"/>
      </w:r>
      <w:r>
        <w:rPr>
          <w:rFonts w:ascii="Arial" w:eastAsia="Times New Roman" w:hAnsi="Arial" w:cs="Times New Roman"/>
          <w:b/>
          <w:sz w:val="30"/>
          <w:szCs w:val="30"/>
        </w:rPr>
        <w:t xml:space="preserve"> </w:t>
      </w: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ascii="Arial" w:eastAsia="Times New Roman" w:hAnsi="Arial" w:cs="Times New Roman"/>
          <w:b/>
          <w:sz w:val="30"/>
          <w:szCs w:val="30"/>
        </w:rPr>
      </w:pPr>
    </w:p>
    <w:p w:rsidR="00F3721A" w:rsidRDefault="00F9592F">
      <w:pPr>
        <w:pStyle w:val="normal1"/>
        <w:spacing w:after="0" w:line="240" w:lineRule="auto"/>
        <w:ind w:left="-283" w:right="-220"/>
        <w:jc w:val="center"/>
        <w:rPr>
          <w:rFonts w:ascii="Arial" w:hAnsi="Arial"/>
          <w:sz w:val="30"/>
          <w:szCs w:val="30"/>
        </w:rPr>
      </w:pPr>
      <w:r>
        <w:rPr>
          <w:rFonts w:ascii="Arial" w:eastAsia="Times New Roman" w:hAnsi="Arial" w:cs="Times New Roman"/>
          <w:b/>
          <w:sz w:val="30"/>
          <w:szCs w:val="30"/>
        </w:rPr>
        <w:t xml:space="preserve">Programa Guía de Estudios. </w:t>
      </w: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ascii="Arial" w:eastAsia="Times New Roman" w:hAnsi="Arial" w:cs="Times New Roman"/>
          <w:sz w:val="30"/>
          <w:szCs w:val="30"/>
        </w:rPr>
      </w:pPr>
    </w:p>
    <w:p w:rsidR="00F3721A" w:rsidRDefault="00F9592F">
      <w:pPr>
        <w:pStyle w:val="normal1"/>
        <w:spacing w:after="0" w:line="240" w:lineRule="auto"/>
        <w:ind w:left="-283" w:right="-220"/>
        <w:jc w:val="center"/>
        <w:rPr>
          <w:rFonts w:ascii="Arial" w:hAnsi="Arial"/>
          <w:sz w:val="30"/>
          <w:szCs w:val="30"/>
        </w:rPr>
      </w:pPr>
      <w:r>
        <w:rPr>
          <w:rFonts w:ascii="Arial" w:eastAsia="Times New Roman" w:hAnsi="Arial" w:cs="Times New Roman"/>
          <w:b/>
          <w:sz w:val="30"/>
          <w:szCs w:val="30"/>
        </w:rPr>
        <w:t xml:space="preserve">Diplomado en Tanatología Teándrica con Enfoque Clínico 2026. </w:t>
      </w: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DF3E8C">
      <w:pPr>
        <w:pStyle w:val="normal1"/>
        <w:spacing w:after="0" w:line="240" w:lineRule="auto"/>
        <w:ind w:left="-283" w:right="-220"/>
        <w:jc w:val="center"/>
        <w:rPr>
          <w:rFonts w:ascii="Arial" w:hAnsi="Arial"/>
          <w:sz w:val="30"/>
          <w:szCs w:val="30"/>
        </w:rPr>
      </w:pPr>
      <w:r>
        <w:rPr>
          <w:rFonts w:ascii="Arial" w:eastAsia="Times New Roman" w:hAnsi="Arial" w:cs="Times New Roman"/>
          <w:b/>
          <w:sz w:val="30"/>
          <w:szCs w:val="30"/>
        </w:rPr>
        <w:t>3</w:t>
      </w:r>
      <w:r w:rsidR="00F9592F">
        <w:rPr>
          <w:rFonts w:ascii="Arial" w:eastAsia="Times New Roman" w:hAnsi="Arial" w:cs="Times New Roman"/>
          <w:b/>
          <w:sz w:val="30"/>
          <w:szCs w:val="30"/>
        </w:rPr>
        <w:t>da. Generación.</w:t>
      </w: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DF3E8C" w:rsidP="00DF3E8C">
      <w:pPr>
        <w:pStyle w:val="normal1"/>
        <w:spacing w:after="0" w:line="240" w:lineRule="auto"/>
        <w:ind w:left="-283" w:right="-220"/>
        <w:jc w:val="center"/>
        <w:rPr>
          <w:rFonts w:ascii="Arial" w:hAnsi="Arial"/>
          <w:sz w:val="30"/>
          <w:szCs w:val="30"/>
        </w:rPr>
      </w:pPr>
      <w:r>
        <w:rPr>
          <w:rFonts w:ascii="Arial" w:eastAsia="Times New Roman" w:hAnsi="Arial" w:cs="Times New Roman"/>
          <w:b/>
          <w:sz w:val="30"/>
          <w:szCs w:val="30"/>
        </w:rPr>
        <w:t>Septiembre 2026-Febrero 2027</w:t>
      </w:r>
      <w:r w:rsidR="00F9592F">
        <w:rPr>
          <w:rFonts w:ascii="Arial" w:eastAsia="Times New Roman" w:hAnsi="Arial" w:cs="Times New Roman"/>
          <w:b/>
          <w:sz w:val="30"/>
          <w:szCs w:val="30"/>
        </w:rPr>
        <w:t>.</w:t>
      </w: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9592F">
      <w:pPr>
        <w:pStyle w:val="normal1"/>
        <w:spacing w:after="0" w:line="240" w:lineRule="auto"/>
        <w:ind w:left="-283" w:right="-220"/>
        <w:jc w:val="center"/>
        <w:rPr>
          <w:rFonts w:ascii="Arial" w:hAnsi="Arial"/>
          <w:sz w:val="14"/>
          <w:szCs w:val="14"/>
        </w:rPr>
      </w:pPr>
      <w:r>
        <w:rPr>
          <w:rFonts w:ascii="Arial" w:eastAsia="Times New Roman" w:hAnsi="Arial" w:cs="Times New Roman"/>
          <w:b/>
          <w:sz w:val="14"/>
          <w:szCs w:val="14"/>
        </w:rPr>
        <w:t xml:space="preserve">(Derechos Reservados ante Indautor e IMPI en Trámite). </w:t>
      </w: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DF3E8C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  <w:r>
        <w:rPr>
          <w:rFonts w:ascii="Arial" w:hAnsi="Arial"/>
          <w:noProof/>
          <w:sz w:val="14"/>
          <w:szCs w:val="14"/>
          <w:lang w:val="en-US" w:eastAsia="en-US" w:bidi="ar-SA"/>
        </w:rPr>
        <w:drawing>
          <wp:anchor distT="0" distB="0" distL="0" distR="0" simplePos="0" relativeHeight="6" behindDoc="0" locked="0" layoutInCell="0" allowOverlap="1" wp14:anchorId="4B45162D" wp14:editId="3470A180">
            <wp:simplePos x="0" y="0"/>
            <wp:positionH relativeFrom="column">
              <wp:posOffset>1158240</wp:posOffset>
            </wp:positionH>
            <wp:positionV relativeFrom="paragraph">
              <wp:posOffset>11430</wp:posOffset>
            </wp:positionV>
            <wp:extent cx="3512820" cy="3515360"/>
            <wp:effectExtent l="0" t="0" r="0" b="0"/>
            <wp:wrapSquare wrapText="largest"/>
            <wp:docPr id="1" name="Imagen1 C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 Copia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eastAsia="Times New Roman" w:cs="Times New Roman"/>
          <w:b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center"/>
        <w:rPr>
          <w:rFonts w:ascii="Arial" w:eastAsia="Times New Roman" w:hAnsi="Arial" w:cs="Times New Roman"/>
          <w:b/>
        </w:rPr>
      </w:pPr>
    </w:p>
    <w:p w:rsidR="00F3721A" w:rsidRDefault="00F3721A">
      <w:pPr>
        <w:pStyle w:val="Textoindependiente"/>
        <w:spacing w:line="240" w:lineRule="auto"/>
        <w:ind w:left="-283" w:right="-220"/>
        <w:jc w:val="both"/>
        <w:rPr>
          <w:rFonts w:eastAsia="Times New Roman" w:cs="Times New Roman"/>
          <w:b/>
        </w:rPr>
      </w:pPr>
    </w:p>
    <w:p w:rsidR="00F3721A" w:rsidRDefault="00F3721A">
      <w:pPr>
        <w:pStyle w:val="Textoindependiente"/>
        <w:spacing w:line="240" w:lineRule="auto"/>
        <w:ind w:left="-283" w:right="-220"/>
        <w:jc w:val="both"/>
        <w:rPr>
          <w:rFonts w:eastAsia="Times New Roman" w:cs="Times New Roman"/>
          <w:b/>
        </w:rPr>
      </w:pPr>
    </w:p>
    <w:p w:rsidR="00F3721A" w:rsidRDefault="00F3721A">
      <w:pPr>
        <w:pStyle w:val="Textoindependiente"/>
        <w:spacing w:line="240" w:lineRule="auto"/>
        <w:ind w:left="-283" w:right="-220"/>
        <w:jc w:val="both"/>
        <w:rPr>
          <w:rFonts w:eastAsia="Times New Roman" w:cs="Times New Roman"/>
          <w:b/>
        </w:rPr>
      </w:pPr>
    </w:p>
    <w:p w:rsidR="00F3721A" w:rsidRDefault="00F3721A">
      <w:pPr>
        <w:pStyle w:val="Textoindependiente"/>
        <w:spacing w:line="240" w:lineRule="auto"/>
        <w:ind w:left="-283" w:right="-220"/>
        <w:jc w:val="both"/>
        <w:rPr>
          <w:rFonts w:eastAsia="Times New Roman" w:cs="Times New Roman"/>
          <w:b/>
        </w:rPr>
      </w:pPr>
    </w:p>
    <w:p w:rsidR="00F3721A" w:rsidRDefault="00F3721A">
      <w:pPr>
        <w:pStyle w:val="Textoindependiente"/>
        <w:spacing w:line="240" w:lineRule="auto"/>
        <w:ind w:left="-283" w:right="-220"/>
        <w:jc w:val="both"/>
        <w:rPr>
          <w:rFonts w:eastAsia="Times New Roman" w:cs="Times New Roman"/>
          <w:b/>
        </w:rPr>
      </w:pPr>
    </w:p>
    <w:p w:rsidR="00F3721A" w:rsidRDefault="00F3721A">
      <w:pPr>
        <w:pStyle w:val="Textoindependiente"/>
        <w:spacing w:line="240" w:lineRule="auto"/>
        <w:ind w:left="-283" w:right="-220"/>
        <w:jc w:val="both"/>
        <w:rPr>
          <w:rFonts w:eastAsia="Times New Roman" w:cs="Times New Roman"/>
          <w:b/>
        </w:rPr>
      </w:pPr>
    </w:p>
    <w:p w:rsidR="00F3721A" w:rsidRDefault="00F3721A">
      <w:pPr>
        <w:pStyle w:val="Textoindependiente"/>
        <w:spacing w:line="240" w:lineRule="auto"/>
        <w:ind w:left="-283" w:right="-220"/>
        <w:jc w:val="both"/>
        <w:rPr>
          <w:rFonts w:eastAsia="Times New Roman" w:cs="Times New Roman"/>
          <w:b/>
        </w:rPr>
      </w:pPr>
    </w:p>
    <w:p w:rsidR="00F3721A" w:rsidRDefault="00F3721A" w:rsidP="00DF3E8C">
      <w:pPr>
        <w:pStyle w:val="Textoindependiente"/>
        <w:spacing w:line="240" w:lineRule="auto"/>
        <w:ind w:right="-220"/>
        <w:jc w:val="both"/>
        <w:rPr>
          <w:rFonts w:eastAsia="Times New Roman" w:cs="Times New Roman"/>
          <w:b/>
        </w:rPr>
      </w:pPr>
    </w:p>
    <w:p w:rsidR="00F3721A" w:rsidRDefault="00F3721A">
      <w:pPr>
        <w:pStyle w:val="Textoindependiente"/>
        <w:spacing w:line="240" w:lineRule="auto"/>
        <w:ind w:left="-283" w:right="-220"/>
        <w:jc w:val="both"/>
        <w:rPr>
          <w:rFonts w:eastAsia="Times New Roman" w:cs="Times New Roman"/>
          <w:b/>
        </w:rPr>
      </w:pPr>
    </w:p>
    <w:p w:rsidR="00F3721A" w:rsidRDefault="00F9592F">
      <w:pPr>
        <w:pStyle w:val="Textoindependiente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b/>
        </w:rPr>
        <w:t>1. Presentación General del Diplomado.</w:t>
      </w:r>
    </w:p>
    <w:p w:rsidR="00F3721A" w:rsidRDefault="00F9592F">
      <w:pPr>
        <w:pStyle w:val="Textoindependiente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hAnsi="Arial"/>
        </w:rPr>
        <w:t xml:space="preserve">El Diplomado de Tanatología Teándrica </w:t>
      </w:r>
      <w:r>
        <w:rPr>
          <w:rFonts w:ascii="Arial" w:hAnsi="Arial"/>
        </w:rPr>
        <w:t xml:space="preserve"> con enfoque clínico, busca acercar a los participantes al conocimiento de la Tanatología como ciencia, sus aportes para el manejo de las pérdidas y duelos desde el estudio del ser humano, el inicio de la vida y el acontecer de la muerte, para atender las </w:t>
      </w:r>
      <w:r>
        <w:rPr>
          <w:rFonts w:ascii="Arial" w:hAnsi="Arial"/>
        </w:rPr>
        <w:t>estructuras dimensionales del ser humano, (Bio-Psico-Social-Espiritual), para buscar la salud mental e integral por las diferentes transiciones de enfermedad, pérdida, duelo y fenómenos de la muerte y poder llevar a un nivel de consciencia de la existencia</w:t>
      </w:r>
      <w:r>
        <w:rPr>
          <w:rFonts w:ascii="Arial" w:hAnsi="Arial"/>
        </w:rPr>
        <w:t xml:space="preserve"> a la persona con sus estructuras dimensionales superiores (Etéreo-Divino y Teándrico), que es donde se aloja el potencial creativo y el potencial sanador del ser humano. Basándose en las Escuelas de Psicología, Tanatología y Humanismo existentes, sus post</w:t>
      </w:r>
      <w:r>
        <w:rPr>
          <w:rFonts w:ascii="Arial" w:hAnsi="Arial"/>
        </w:rPr>
        <w:t>ulados teóricos propios y en sus modelos de atención a la salud que fundamentos los contenidos del Instituto Mexicano de Educación Humanista y Tanatológica que son:</w:t>
      </w:r>
    </w:p>
    <w:p w:rsidR="00F3721A" w:rsidRDefault="00F9592F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La Tanatología Sorora y la Psicoterapia Transpersonal. </w:t>
      </w:r>
    </w:p>
    <w:p w:rsidR="00F3721A" w:rsidRDefault="00F9592F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>La teoría del Campo Mórfico y Cuánt</w:t>
      </w:r>
      <w:r>
        <w:rPr>
          <w:rFonts w:ascii="Arial" w:hAnsi="Arial"/>
        </w:rPr>
        <w:t>ico Terapéutico.</w:t>
      </w:r>
    </w:p>
    <w:p w:rsidR="00F3721A" w:rsidRDefault="00F9592F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La Teoría de la Tanatología Teándrica. </w:t>
      </w:r>
    </w:p>
    <w:p w:rsidR="00F3721A" w:rsidRDefault="00F9592F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El Modelo de Atención del Yoghismo Tanatológico. </w:t>
      </w:r>
    </w:p>
    <w:p w:rsidR="00F3721A" w:rsidRDefault="00F9592F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>La Teoría de la Recuperación del Sujeto.</w:t>
      </w:r>
    </w:p>
    <w:p w:rsidR="00F3721A" w:rsidRDefault="00F9592F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Tanatología Espiritual Humanista. </w:t>
      </w:r>
    </w:p>
    <w:p w:rsidR="00F3721A" w:rsidRDefault="00F9592F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Teoría de la Tanatología Feminista. </w:t>
      </w:r>
    </w:p>
    <w:p w:rsidR="00F3721A" w:rsidRDefault="00F9592F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Los Modelos de Psicología Humanista </w:t>
      </w:r>
      <w:r>
        <w:rPr>
          <w:rFonts w:ascii="Arial" w:hAnsi="Arial"/>
        </w:rPr>
        <w:t>y Transpersonal.</w:t>
      </w:r>
    </w:p>
    <w:p w:rsidR="00F3721A" w:rsidRDefault="00F9592F">
      <w:pPr>
        <w:pStyle w:val="Textoindependiente"/>
        <w:numPr>
          <w:ilvl w:val="0"/>
          <w:numId w:val="1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La Bioética, los Derechos Humanos y la Perspectiva de Género. </w:t>
      </w:r>
    </w:p>
    <w:p w:rsidR="00F3721A" w:rsidRDefault="00F3721A">
      <w:pPr>
        <w:pStyle w:val="Textoindependiente"/>
        <w:jc w:val="both"/>
        <w:rPr>
          <w:rFonts w:ascii="Arial" w:hAnsi="Arial"/>
        </w:rPr>
      </w:pPr>
    </w:p>
    <w:p w:rsidR="00F3721A" w:rsidRDefault="00F9592F">
      <w:pPr>
        <w:pStyle w:val="Textoindependiente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hAnsi="Arial"/>
        </w:rPr>
        <w:t>El Diplomado aporta elementos teóricos y prácticos para la aplicación hospitalaria, clínica, de acompañamiento tanatológico con enfoque clínico y humano, consulta psicoterapéu</w:t>
      </w:r>
      <w:r>
        <w:rPr>
          <w:rFonts w:ascii="Arial" w:hAnsi="Arial"/>
        </w:rPr>
        <w:t>tica e integral, y para la propia reflexión personal, para todas aquellas personas que desean mejorar su salud humana, su calidad de vida y sanar sus duelos y pérdidas. El diplomado debe tomarse si se está en la búsqueda de alternativas para mejorar la sal</w:t>
      </w:r>
      <w:r>
        <w:rPr>
          <w:rFonts w:ascii="Arial" w:hAnsi="Arial"/>
        </w:rPr>
        <w:t>ud y ser un ser humano más pleno, así como para poder generar aprendizajes trascendentes que permitan resolver las cuestiones fundamentales de la vida humana desde una visión integral, biosférica, y de la consciencia divina del ser humano para mejorar su s</w:t>
      </w:r>
      <w:r>
        <w:rPr>
          <w:rFonts w:ascii="Arial" w:hAnsi="Arial"/>
        </w:rPr>
        <w:t>alud.</w:t>
      </w:r>
    </w:p>
    <w:p w:rsidR="00F3721A" w:rsidRDefault="00F9592F">
      <w:pPr>
        <w:pStyle w:val="Textoindependiente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hAnsi="Arial"/>
        </w:rPr>
        <w:t>El Diplomado brinda competencias para abordar desde el Acompañamiento Tanatológico el manejo del duelo, la pérdida, el duelo del vínculo afectivo y demás afectaciones bio-psico-social y espirituales a las personas, que han generado trastornos cogniti</w:t>
      </w:r>
      <w:r>
        <w:rPr>
          <w:rFonts w:ascii="Arial" w:hAnsi="Arial"/>
        </w:rPr>
        <w:t>vos, trauma, somatización y desorganización integral para recuperar sus salud integral desde la consciencia de la estructura teándrica del ser humano.  </w:t>
      </w:r>
    </w:p>
    <w:p w:rsidR="00F3721A" w:rsidRDefault="00F9592F">
      <w:pPr>
        <w:pStyle w:val="Textoindependiente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El Diplomado cuenta con reconocimiento de validez oficial por parte de las autoridades educativas media</w:t>
      </w:r>
      <w:r>
        <w:rPr>
          <w:rFonts w:ascii="Arial" w:hAnsi="Arial"/>
        </w:rPr>
        <w:t>nte el Centro de Tanatología Atman Dhyana y nuestras alianzas educativas, y optativamente el estudiante podrá tramitar su Reconocimiento de Competencia EC0241 (Promoción de la Atención Tanatológica Integral) en SEP CONOCER, así como su constancia DC-3 para</w:t>
      </w:r>
      <w:r>
        <w:rPr>
          <w:rFonts w:ascii="Arial" w:hAnsi="Arial"/>
        </w:rPr>
        <w:t xml:space="preserve"> acreditar la Competencia Laboral ante la STPS,  con el apoyo de nuestros socios y con descuento preferencial por gastos de finalización del Diplomado. </w:t>
      </w:r>
    </w:p>
    <w:p w:rsidR="00F3721A" w:rsidRDefault="00F9592F">
      <w:pPr>
        <w:pStyle w:val="Textoindependiente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hAnsi="Arial"/>
          <w:b/>
        </w:rPr>
        <w:t>2. Objetivo General.</w:t>
      </w:r>
    </w:p>
    <w:p w:rsidR="00F3721A" w:rsidRDefault="00F9592F">
      <w:pPr>
        <w:pStyle w:val="Textoindependiente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hAnsi="Arial"/>
        </w:rPr>
        <w:t>El participante conocerá qué es la Tanatología Teándrica como campo del saber tana</w:t>
      </w:r>
      <w:r>
        <w:rPr>
          <w:rFonts w:ascii="Arial" w:hAnsi="Arial"/>
        </w:rPr>
        <w:t>tológico contemporáneo, como ciencia y desde el aspecto del ser, su relación con la espiritualidad humana, y su uso para manejar de manera asertiva pérdidas y duelos en el campo hospitalario y en el abordaje clínico del duelo y la pérdida, así como también</w:t>
      </w:r>
      <w:r>
        <w:rPr>
          <w:rFonts w:ascii="Arial" w:hAnsi="Arial"/>
        </w:rPr>
        <w:t xml:space="preserve"> identificará los aspectos relevantes y significativos de sus entornos y dimensiones personales, familiares y laborales, en base a la reflexión tanatológica, a la espiritualidad, al desarrollo humano pleno y trascendente y a la consciencia de su dimensión </w:t>
      </w:r>
      <w:r>
        <w:rPr>
          <w:rFonts w:ascii="Arial" w:hAnsi="Arial"/>
        </w:rPr>
        <w:t xml:space="preserve">teándrica, con el propósito de obtener una mejor salud integral y mejorar su experiencia personal de vida. </w:t>
      </w:r>
    </w:p>
    <w:p w:rsidR="00F3721A" w:rsidRDefault="00F9592F">
      <w:pPr>
        <w:pStyle w:val="Textoindependiente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hAnsi="Arial"/>
          <w:b/>
        </w:rPr>
        <w:t>3. Metodología.</w:t>
      </w:r>
    </w:p>
    <w:p w:rsidR="00F3721A" w:rsidRDefault="00F9592F">
      <w:pPr>
        <w:pStyle w:val="Textoindependiente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hAnsi="Arial"/>
        </w:rPr>
        <w:t>El diplomado será impartido en modalidad virtual en línea en la Plataforma Educativa del Centro de Tanatología Atman Dhyana, con una</w:t>
      </w:r>
      <w:r>
        <w:rPr>
          <w:rFonts w:ascii="Arial" w:hAnsi="Arial"/>
        </w:rPr>
        <w:t xml:space="preserve"> pedagogía y didáctica sincrónica y asincrónica, cada módulo se imparte de forma mensual, DOS veces al mes, en los días sábado (ver calendario), en un horario de 4 horas de 09:00 a.m., a 01:00 p.m.; también se tendrán actividades y videograbaciones en la p</w:t>
      </w:r>
      <w:r>
        <w:rPr>
          <w:rFonts w:ascii="Arial" w:hAnsi="Arial"/>
        </w:rPr>
        <w:t>lataforma educativa;  que se subirán entre semana para consulta del participante; se realizarán actividades de lecturas formativas y ejercicios, teniendo el alumno el objetivo de cumplir con una carga académica de 24 horas mensuales de formación presencial</w:t>
      </w:r>
      <w:r>
        <w:rPr>
          <w:rFonts w:ascii="Arial" w:hAnsi="Arial"/>
        </w:rPr>
        <w:t>, autodidacta y de revisión de tareas y ejercicios, para hacer un total de 120 horas. La didáctica de enseñanza es asincrónica, es decir que el alumno podrá realizar el estudio en sus tiempos y conforme a sus necesidades, y sincrónica conforme al calendari</w:t>
      </w:r>
      <w:r>
        <w:rPr>
          <w:rFonts w:ascii="Arial" w:hAnsi="Arial"/>
        </w:rPr>
        <w:t xml:space="preserve">o de clases de los temas a impartir, los cuales podrá consultar permanentemente durante la duración del diplomado ya que las clases quedarán pregrabadas. </w:t>
      </w:r>
    </w:p>
    <w:p w:rsidR="00F3721A" w:rsidRDefault="00F9592F">
      <w:pPr>
        <w:pStyle w:val="Textoindependiente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hAnsi="Arial"/>
        </w:rPr>
        <w:t>Las didácticas educativas del Centro de Tanatología Atman Dhyana  son:</w:t>
      </w:r>
    </w:p>
    <w:p w:rsidR="00F3721A" w:rsidRDefault="00F3721A">
      <w:pPr>
        <w:pStyle w:val="Textoindependiente"/>
        <w:spacing w:line="240" w:lineRule="auto"/>
        <w:ind w:left="-283" w:right="-220"/>
        <w:jc w:val="both"/>
        <w:rPr>
          <w:rFonts w:ascii="Arial" w:hAnsi="Arial"/>
        </w:rPr>
      </w:pPr>
    </w:p>
    <w:p w:rsidR="00F3721A" w:rsidRDefault="00F9592F">
      <w:pPr>
        <w:pStyle w:val="Textoindependiente"/>
        <w:numPr>
          <w:ilvl w:val="0"/>
          <w:numId w:val="2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>Educación sincrónica y asincr</w:t>
      </w:r>
      <w:r>
        <w:rPr>
          <w:rFonts w:ascii="Arial" w:hAnsi="Arial"/>
        </w:rPr>
        <w:t xml:space="preserve">ónica en Plataforma Digital y página web. </w:t>
      </w:r>
    </w:p>
    <w:p w:rsidR="00F3721A" w:rsidRDefault="00F9592F">
      <w:pPr>
        <w:pStyle w:val="Textoindependiente"/>
        <w:numPr>
          <w:ilvl w:val="0"/>
          <w:numId w:val="2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Innovación Educativa, Científica y Humanística. </w:t>
      </w:r>
    </w:p>
    <w:p w:rsidR="00F3721A" w:rsidRDefault="00F9592F">
      <w:pPr>
        <w:pStyle w:val="Textoindependiente"/>
        <w:numPr>
          <w:ilvl w:val="0"/>
          <w:numId w:val="2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>Didáctica basada en la Salud Mental para ser seres humanos más plenos.</w:t>
      </w:r>
    </w:p>
    <w:p w:rsidR="00F3721A" w:rsidRDefault="00F9592F">
      <w:pPr>
        <w:pStyle w:val="Textoindependiente"/>
        <w:numPr>
          <w:ilvl w:val="0"/>
          <w:numId w:val="2"/>
        </w:numPr>
        <w:tabs>
          <w:tab w:val="clear" w:pos="709"/>
          <w:tab w:val="left" w:pos="0"/>
        </w:tabs>
        <w:jc w:val="both"/>
        <w:rPr>
          <w:rFonts w:ascii="Arial" w:hAnsi="Arial"/>
        </w:rPr>
      </w:pPr>
      <w:r>
        <w:rPr>
          <w:rFonts w:ascii="Arial" w:hAnsi="Arial"/>
        </w:rPr>
        <w:t>Pedagogía para el Estado de Bienestar.</w:t>
      </w:r>
    </w:p>
    <w:p w:rsidR="00F3721A" w:rsidRDefault="00F9592F">
      <w:pPr>
        <w:pStyle w:val="Textoindependiente"/>
        <w:numPr>
          <w:ilvl w:val="0"/>
          <w:numId w:val="2"/>
        </w:numPr>
        <w:tabs>
          <w:tab w:val="clear" w:pos="709"/>
          <w:tab w:val="left" w:pos="0"/>
        </w:tabs>
        <w:rPr>
          <w:rFonts w:ascii="Arial" w:hAnsi="Arial"/>
        </w:rPr>
      </w:pPr>
      <w:r>
        <w:rPr>
          <w:rFonts w:ascii="Arial" w:hAnsi="Arial"/>
        </w:rPr>
        <w:t>Tanatología Teándrica Educativa.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4. Temario.</w:t>
      </w:r>
    </w:p>
    <w:p w:rsidR="00F3721A" w:rsidRDefault="00F9592F">
      <w:pPr>
        <w:pStyle w:val="Textoindependiente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Módulo 1.</w:t>
      </w:r>
      <w:r>
        <w:rPr>
          <w:rFonts w:ascii="Arial" w:hAnsi="Arial"/>
          <w:b/>
          <w:bCs/>
        </w:rPr>
        <w:t xml:space="preserve"> Introducción a la Tanatología. 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a) Introducción a la Tanatología y sus campos de aplicación. 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 xml:space="preserve">b) Nociones Generales sobre Tanatología, Ciencia y Espiritualidad. 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 xml:space="preserve">c) El ser humano y sus estructuras bio-psico-social, espiritual y las estructuras superiores. 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d) Estudio bioético, social, espiritual, religioso y jurídico de la muerte, la distanacia, la ortotanasia y eutanasia para comprender la trascendencia de la vida</w:t>
      </w:r>
      <w:r>
        <w:rPr>
          <w:rFonts w:ascii="Arial" w:hAnsi="Arial"/>
        </w:rPr>
        <w:t>. 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  <w:b/>
        </w:rPr>
        <w:t>Módulo 2. Teoría del Duelo, de la Pérdida y del Trastorno del Duelo Complejo.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 xml:space="preserve">a) Qué es el Duelo-dolor y su relación con la existencia humana. 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b) Tipos y Factores del Duelo.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c) Tipos y Factores de Pérdida.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d) Tipos y factores de la Afectación Compleja.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e) Afectaciones en las estructuras bio-psico-social y espiritual.   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 xml:space="preserve">f) Influencia de la Pérdida y el Duelo en las enfermedades, la Vida Plena y la Muerte. 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Módulo 3. Psicología Transpersonal, Paradigma Cuántico, Estructura Teándrica y su impacto en las </w:t>
      </w:r>
      <w:r>
        <w:rPr>
          <w:rFonts w:ascii="Arial" w:hAnsi="Arial"/>
          <w:b/>
        </w:rPr>
        <w:t>pérdidas, duelos y cómo afectan a la salud mental.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a) Psicología Transpersonal y los modelos de intervención a la pérdida y el duelo.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b) Paradigma Cuántico y su relación con la recuperación de la salud en la pérdida y el duelo.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c) Estructura Teándrica y su</w:t>
      </w:r>
      <w:r>
        <w:rPr>
          <w:rFonts w:ascii="Arial" w:hAnsi="Arial"/>
        </w:rPr>
        <w:t xml:space="preserve"> modelo de intervención a la pérdida y el duelo complejo desde la consciencia del ser teándrico.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e) Tanatología para la recuperación de enfermedad, trastornos, traumas y afectaciones vivenciales desde la estructura teándrica.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f) Aplicaciones prácticas en e</w:t>
      </w:r>
      <w:r>
        <w:rPr>
          <w:rFonts w:ascii="Arial" w:hAnsi="Arial"/>
        </w:rPr>
        <w:t>l ámbito hospitalario, psicoterapéutico, educativo, espiritual y de la salud humana desde las estructuras superiores del ser humano. 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  <w:b/>
        </w:rPr>
        <w:t>Módulo 4.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 xml:space="preserve">Introducción a la Tanatología Teándrica. 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 xml:space="preserve">a) Tanatología de las Tradiciones Espirituales Orientales. 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b) Tanatol</w:t>
      </w:r>
      <w:r>
        <w:rPr>
          <w:rFonts w:ascii="Arial" w:hAnsi="Arial"/>
        </w:rPr>
        <w:t xml:space="preserve">ogía Teándrica para el mejoramiento de la salud integral humana. 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 xml:space="preserve">c) Técnicas Espirituales Orientales y Teándricas  para la salud y el bienestar. 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d) Modelo de Intervención de la Tanatología Teándrica para sanar la pérdida y el duelo y recuperar la salud.</w:t>
      </w:r>
    </w:p>
    <w:p w:rsidR="00F3721A" w:rsidRDefault="00F3721A">
      <w:pPr>
        <w:pStyle w:val="Textoindependiente"/>
        <w:jc w:val="both"/>
        <w:rPr>
          <w:rFonts w:ascii="Arial" w:hAnsi="Arial"/>
          <w:b/>
        </w:rPr>
      </w:pPr>
    </w:p>
    <w:p w:rsidR="00F3721A" w:rsidRDefault="00F9592F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Módulo 5. Aplicación Práctica de la Tanatología Teándrica en el Ámbito Clínico. 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a) Aplicaciones del Método de la Tanatología Teándrica para mejorar la calidad de vida.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b) Aplicación Hospitalaria y de Cuidados Paliativos de la Tanatología Teándrica.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c) Ap</w:t>
      </w:r>
      <w:r>
        <w:rPr>
          <w:rFonts w:ascii="Arial" w:hAnsi="Arial"/>
        </w:rPr>
        <w:t>licación Psicoteraéutica de la Tanatología Teándrica.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d) Aplicación a la salud integral de la Tanatología Teándrica.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e) Aplicación del acompañamiento tanatológico desde la Tanatología Teándrica.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>e) Aplicación Espiritual de la Tanatología Teándrica.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 xml:space="preserve">f) </w:t>
      </w:r>
      <w:r>
        <w:rPr>
          <w:rFonts w:ascii="Arial" w:hAnsi="Arial"/>
        </w:rPr>
        <w:t>Estudios de Caso de la aplicación de la Tanatología Teándrica.</w:t>
      </w:r>
    </w:p>
    <w:p w:rsidR="00F3721A" w:rsidRDefault="00F9592F">
      <w:pPr>
        <w:pStyle w:val="Textoindependiente"/>
        <w:jc w:val="both"/>
      </w:pPr>
      <w:r>
        <w:rPr>
          <w:rStyle w:val="Textoennegrita"/>
          <w:rFonts w:ascii="Arial" w:hAnsi="Arial"/>
        </w:rPr>
        <w:t>Módulo 6. Dialogo de Saberes y Conclusiones. 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 xml:space="preserve">a) Diálogo de saberes y conclusiones finales. </w:t>
      </w:r>
    </w:p>
    <w:p w:rsidR="00F3721A" w:rsidRDefault="00F9592F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6. Duración y Calendario. </w:t>
      </w:r>
    </w:p>
    <w:p w:rsidR="00F3721A" w:rsidRDefault="00F9592F">
      <w:pPr>
        <w:pStyle w:val="Textoindependiente"/>
        <w:jc w:val="both"/>
        <w:rPr>
          <w:rFonts w:ascii="Arial" w:hAnsi="Arial"/>
        </w:rPr>
      </w:pPr>
      <w:r>
        <w:rPr>
          <w:rFonts w:ascii="Arial" w:hAnsi="Arial"/>
        </w:rPr>
        <w:t xml:space="preserve">La Duración del Diplomado es de 120 horas, durante 6 meses; la sumatoria </w:t>
      </w:r>
      <w:r>
        <w:rPr>
          <w:rFonts w:ascii="Arial" w:hAnsi="Arial"/>
        </w:rPr>
        <w:t xml:space="preserve">de horas considera las sesiones presenciales, las sesiones de modalidad asincrónica, las horas de estudio autodidacta del estudiante, así como las horas de recomendación de estudio individual. </w:t>
      </w:r>
    </w:p>
    <w:p w:rsidR="00F3721A" w:rsidRDefault="00F9592F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7. Calendario de dos sesiones presenciales por mes (Duración 4</w:t>
      </w:r>
      <w:r>
        <w:rPr>
          <w:rFonts w:ascii="Arial" w:hAnsi="Arial"/>
          <w:b/>
        </w:rPr>
        <w:t xml:space="preserve"> horas casa sesión).</w:t>
      </w:r>
    </w:p>
    <w:p w:rsidR="00F3721A" w:rsidRDefault="00F9592F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Módulo 1. </w:t>
      </w:r>
    </w:p>
    <w:p w:rsidR="00F3721A" w:rsidRDefault="00DF3E8C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Sábado 12 y 26 de septiembre</w:t>
      </w:r>
      <w:r w:rsidR="00F9592F">
        <w:rPr>
          <w:rFonts w:ascii="Arial" w:hAnsi="Arial"/>
          <w:b/>
        </w:rPr>
        <w:t xml:space="preserve"> de 2026. (Sesión de 09:00 a.m. a 01:00 p.m.)</w:t>
      </w:r>
    </w:p>
    <w:p w:rsidR="00F3721A" w:rsidRDefault="00F9592F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Módulo 2. </w:t>
      </w:r>
    </w:p>
    <w:p w:rsidR="00F3721A" w:rsidRDefault="00DF3E8C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Sábado 17 y 31 de octubre</w:t>
      </w:r>
      <w:r w:rsidR="00F9592F">
        <w:rPr>
          <w:rFonts w:ascii="Arial" w:hAnsi="Arial"/>
          <w:b/>
        </w:rPr>
        <w:t xml:space="preserve"> de 2026. (Sesión de 09:00 a.m. a 01:00 p.m.)</w:t>
      </w:r>
    </w:p>
    <w:p w:rsidR="00F3721A" w:rsidRDefault="00F9592F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Módulo 3. </w:t>
      </w:r>
    </w:p>
    <w:p w:rsidR="00F3721A" w:rsidRDefault="00DF3E8C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Sábado 07 y 21 de noviembre</w:t>
      </w:r>
      <w:r w:rsidR="00F9592F">
        <w:rPr>
          <w:rFonts w:ascii="Arial" w:hAnsi="Arial"/>
          <w:b/>
        </w:rPr>
        <w:t xml:space="preserve"> de 2026. (Sesión de 09:00 a.m. a 01:00 p.m.)</w:t>
      </w:r>
    </w:p>
    <w:p w:rsidR="00F3721A" w:rsidRDefault="00F9592F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M</w:t>
      </w:r>
      <w:r>
        <w:rPr>
          <w:rFonts w:ascii="Arial" w:hAnsi="Arial"/>
          <w:b/>
        </w:rPr>
        <w:t>ódulo 4. </w:t>
      </w:r>
    </w:p>
    <w:p w:rsidR="00F3721A" w:rsidRDefault="00DF3E8C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Sábado 05 y 19 de diciembre</w:t>
      </w:r>
      <w:r w:rsidR="00F9592F">
        <w:rPr>
          <w:rFonts w:ascii="Arial" w:hAnsi="Arial"/>
          <w:b/>
        </w:rPr>
        <w:t xml:space="preserve"> de 2026. (Sesión de 09:00 a.m. a 01:00 p.m.)</w:t>
      </w:r>
    </w:p>
    <w:p w:rsidR="00F3721A" w:rsidRDefault="00F9592F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Módulo 5. </w:t>
      </w:r>
    </w:p>
    <w:p w:rsidR="00F3721A" w:rsidRDefault="00DF3E8C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Sábado 09 y 23 de enero de 2027</w:t>
      </w:r>
      <w:r w:rsidR="00F9592F">
        <w:rPr>
          <w:rFonts w:ascii="Arial" w:hAnsi="Arial"/>
          <w:b/>
        </w:rPr>
        <w:t>. (Sesión de 09:00 a.m. a 01:00 p.m.)</w:t>
      </w:r>
    </w:p>
    <w:p w:rsidR="00F3721A" w:rsidRDefault="00F9592F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Módulo 6. </w:t>
      </w:r>
    </w:p>
    <w:p w:rsidR="00F3721A" w:rsidRDefault="00DF3E8C">
      <w:pPr>
        <w:pStyle w:val="Textoindependiente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Sábado 20 de febrero de 2027</w:t>
      </w:r>
      <w:r w:rsidR="00F9592F">
        <w:rPr>
          <w:rFonts w:ascii="Arial" w:hAnsi="Arial"/>
          <w:b/>
        </w:rPr>
        <w:t>. (Sesión de 09:00 a.m. a 01:00 p.m.)</w:t>
      </w:r>
    </w:p>
    <w:p w:rsidR="00F3721A" w:rsidRDefault="00F3721A">
      <w:pPr>
        <w:pStyle w:val="normal1"/>
        <w:spacing w:line="240" w:lineRule="auto"/>
        <w:ind w:left="-283" w:right="-220"/>
        <w:jc w:val="both"/>
        <w:rPr>
          <w:rFonts w:ascii="Arial" w:hAnsi="Arial"/>
        </w:rPr>
      </w:pPr>
    </w:p>
    <w:p w:rsidR="00DF3E8C" w:rsidRDefault="00DF3E8C">
      <w:pPr>
        <w:pStyle w:val="normal1"/>
        <w:spacing w:line="240" w:lineRule="auto"/>
        <w:ind w:left="-283" w:right="-220"/>
        <w:jc w:val="both"/>
        <w:rPr>
          <w:rFonts w:ascii="Arial" w:hAnsi="Arial"/>
        </w:rPr>
      </w:pPr>
    </w:p>
    <w:p w:rsidR="00DF3E8C" w:rsidRDefault="00DF3E8C">
      <w:pPr>
        <w:pStyle w:val="normal1"/>
        <w:spacing w:line="240" w:lineRule="auto"/>
        <w:ind w:left="-283" w:right="-220"/>
        <w:jc w:val="both"/>
        <w:rPr>
          <w:rFonts w:ascii="Arial" w:hAnsi="Arial"/>
        </w:rPr>
      </w:pPr>
      <w:bookmarkStart w:id="0" w:name="_GoBack"/>
      <w:bookmarkEnd w:id="0"/>
    </w:p>
    <w:p w:rsidR="00F3721A" w:rsidRDefault="00F9592F">
      <w:pPr>
        <w:pStyle w:val="normal1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b/>
        </w:rPr>
        <w:t>8. Criterios de Eval</w:t>
      </w:r>
      <w:r>
        <w:rPr>
          <w:rFonts w:ascii="Arial" w:eastAsia="Times New Roman" w:hAnsi="Arial" w:cs="Times New Roman"/>
          <w:b/>
        </w:rPr>
        <w:t>uación:</w:t>
      </w:r>
    </w:p>
    <w:p w:rsidR="00F3721A" w:rsidRDefault="00F9592F">
      <w:pPr>
        <w:pStyle w:val="normal1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La máxima calificación es 10. Se evaluarán a los participantes de la siguiente manera:</w:t>
      </w:r>
    </w:p>
    <w:tbl>
      <w:tblPr>
        <w:tblW w:w="9900" w:type="dxa"/>
        <w:tblInd w:w="-611" w:type="dxa"/>
        <w:tblLayout w:type="fixed"/>
        <w:tblLook w:val="04A0" w:firstRow="1" w:lastRow="0" w:firstColumn="1" w:lastColumn="0" w:noHBand="0" w:noVBand="1"/>
      </w:tblPr>
      <w:tblGrid>
        <w:gridCol w:w="4247"/>
        <w:gridCol w:w="790"/>
        <w:gridCol w:w="4863"/>
      </w:tblGrid>
      <w:tr w:rsidR="00F3721A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F3721A" w:rsidRDefault="00F9592F">
            <w:pPr>
              <w:pStyle w:val="normal1"/>
              <w:spacing w:after="0"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b/>
                <w:sz w:val="18"/>
                <w:szCs w:val="18"/>
              </w:rPr>
              <w:t>CRITERIOS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F3721A" w:rsidRDefault="00F9592F">
            <w:pPr>
              <w:pStyle w:val="normal1"/>
              <w:spacing w:after="0"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b/>
                <w:sz w:val="18"/>
                <w:szCs w:val="18"/>
              </w:rPr>
              <w:t>Porcentaje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F3721A" w:rsidRDefault="00F9592F">
            <w:pPr>
              <w:pStyle w:val="normal1"/>
              <w:spacing w:after="0"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b/>
                <w:sz w:val="18"/>
                <w:szCs w:val="18"/>
              </w:rPr>
              <w:t>CARACTERÍSTICAS</w:t>
            </w:r>
          </w:p>
        </w:tc>
      </w:tr>
      <w:tr w:rsidR="00F3721A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21A" w:rsidRDefault="00F9592F">
            <w:pPr>
              <w:pStyle w:val="normal1"/>
              <w:spacing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>Participación y asistencia para los seis módulos.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21A" w:rsidRDefault="00F9592F">
            <w:pPr>
              <w:pStyle w:val="normal1"/>
              <w:spacing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>4 punto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21A" w:rsidRDefault="00F9592F">
            <w:pPr>
              <w:pStyle w:val="normal1"/>
              <w:spacing w:after="0"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>Ingreso</w:t>
            </w:r>
            <w:r>
              <w:rPr>
                <w:rFonts w:ascii="Arial" w:eastAsia="Times New Roman" w:hAnsi="Arial" w:cs="Times New Roman"/>
                <w:sz w:val="18"/>
                <w:szCs w:val="18"/>
              </w:rPr>
              <w:t xml:space="preserve"> a la plataforma.</w:t>
            </w:r>
          </w:p>
          <w:p w:rsidR="00F3721A" w:rsidRDefault="00F9592F">
            <w:pPr>
              <w:pStyle w:val="normal1"/>
              <w:spacing w:after="0"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>Ingreso</w:t>
            </w:r>
            <w:r>
              <w:rPr>
                <w:rFonts w:ascii="Arial" w:eastAsia="Times New Roman" w:hAnsi="Arial" w:cs="Times New Roman"/>
                <w:sz w:val="18"/>
                <w:szCs w:val="18"/>
              </w:rPr>
              <w:t xml:space="preserve"> y participación en las clases taller.</w:t>
            </w:r>
          </w:p>
        </w:tc>
      </w:tr>
      <w:tr w:rsidR="00F3721A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21A" w:rsidRDefault="00F9592F">
            <w:pPr>
              <w:pStyle w:val="normal1"/>
              <w:spacing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 xml:space="preserve">Entrega de   trabajos, actividades y casos. </w:t>
            </w:r>
          </w:p>
          <w:p w:rsidR="00F3721A" w:rsidRDefault="00F9592F">
            <w:pPr>
              <w:pStyle w:val="normal1"/>
              <w:spacing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>Participación en los debates y ejercicios de reflexión.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21A" w:rsidRDefault="00F3721A">
            <w:pPr>
              <w:pStyle w:val="normal1"/>
              <w:spacing w:line="240" w:lineRule="auto"/>
              <w:ind w:left="-283" w:right="-220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  <w:p w:rsidR="00F3721A" w:rsidRDefault="00F9592F">
            <w:pPr>
              <w:pStyle w:val="normal1"/>
              <w:spacing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>2 puntos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21A" w:rsidRDefault="00F3721A">
            <w:pPr>
              <w:pStyle w:val="normal1"/>
              <w:spacing w:after="0"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F3721A" w:rsidRDefault="00F9592F">
            <w:pPr>
              <w:pStyle w:val="normal1"/>
              <w:spacing w:after="0"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>Cumplir con los criterios y formatos solicitados.</w:t>
            </w:r>
          </w:p>
          <w:p w:rsidR="00F3721A" w:rsidRDefault="00F9592F">
            <w:pPr>
              <w:pStyle w:val="normal1"/>
              <w:spacing w:after="0"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 xml:space="preserve">Reflexión personal en sus conclusiones y ejemplos </w:t>
            </w:r>
            <w:r>
              <w:rPr>
                <w:rFonts w:ascii="Arial" w:eastAsia="Times New Roman" w:hAnsi="Arial" w:cs="Times New Roman"/>
                <w:sz w:val="18"/>
                <w:szCs w:val="18"/>
              </w:rPr>
              <w:t>citados.</w:t>
            </w:r>
          </w:p>
        </w:tc>
      </w:tr>
      <w:tr w:rsidR="00F3721A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21A" w:rsidRDefault="00F9592F">
            <w:pPr>
              <w:pStyle w:val="normal1"/>
              <w:spacing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>Evaluación final, elaboración de cuestionario de preguntas para identificar los saberes adquiridos.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21A" w:rsidRDefault="00F3721A">
            <w:pPr>
              <w:pStyle w:val="normal1"/>
              <w:spacing w:line="240" w:lineRule="auto"/>
              <w:ind w:left="-283" w:right="-220"/>
              <w:jc w:val="center"/>
              <w:rPr>
                <w:rFonts w:ascii="Arial" w:eastAsia="Times New Roman" w:hAnsi="Arial" w:cs="Times New Roman"/>
                <w:sz w:val="18"/>
                <w:szCs w:val="18"/>
              </w:rPr>
            </w:pPr>
          </w:p>
          <w:p w:rsidR="00F3721A" w:rsidRDefault="00F9592F">
            <w:pPr>
              <w:pStyle w:val="normal1"/>
              <w:spacing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>4 puntos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21A" w:rsidRDefault="00F9592F">
            <w:pPr>
              <w:pStyle w:val="normal1"/>
              <w:spacing w:after="0"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>Evaluación General de Conocimientos.</w:t>
            </w:r>
          </w:p>
          <w:p w:rsidR="00F3721A" w:rsidRDefault="00F9592F">
            <w:pPr>
              <w:pStyle w:val="normal1"/>
              <w:spacing w:after="0" w:line="240" w:lineRule="auto"/>
              <w:ind w:left="-283" w:right="-22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eastAsia="Times New Roman" w:hAnsi="Arial" w:cs="Times New Roman"/>
                <w:sz w:val="18"/>
                <w:szCs w:val="18"/>
              </w:rPr>
              <w:t>Reflexión y uso de los conceptos y elementos temáticos revisados en el curso.</w:t>
            </w:r>
          </w:p>
        </w:tc>
      </w:tr>
    </w:tbl>
    <w:p w:rsidR="00F3721A" w:rsidRDefault="00F3721A">
      <w:pPr>
        <w:pStyle w:val="normal1"/>
        <w:spacing w:line="240" w:lineRule="auto"/>
        <w:ind w:left="-283" w:right="-220"/>
        <w:jc w:val="both"/>
        <w:rPr>
          <w:rFonts w:ascii="Arial" w:eastAsia="Times New Roman" w:hAnsi="Arial" w:cs="Times New Roman"/>
        </w:rPr>
      </w:pPr>
    </w:p>
    <w:p w:rsidR="00F3721A" w:rsidRDefault="00F9592F">
      <w:pPr>
        <w:pStyle w:val="normal1"/>
        <w:spacing w:line="240" w:lineRule="auto"/>
        <w:ind w:left="-283" w:right="-220"/>
        <w:rPr>
          <w:rFonts w:ascii="Arial" w:hAnsi="Arial"/>
        </w:rPr>
      </w:pPr>
      <w:r>
        <w:rPr>
          <w:rFonts w:ascii="Arial" w:hAnsi="Arial"/>
          <w:b/>
          <w:bCs/>
        </w:rPr>
        <w:t xml:space="preserve">9. Coordinador: </w:t>
      </w:r>
    </w:p>
    <w:p w:rsidR="00F3721A" w:rsidRDefault="00F9592F">
      <w:pPr>
        <w:pStyle w:val="normal1"/>
        <w:spacing w:line="240" w:lineRule="auto"/>
        <w:ind w:left="-283" w:right="-220"/>
        <w:rPr>
          <w:rFonts w:ascii="Arial" w:hAnsi="Arial"/>
        </w:rPr>
      </w:pP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Dr. Marco Antonio López Galicia.</w:t>
      </w:r>
      <w:r>
        <w:rPr>
          <w:rFonts w:ascii="Arial" w:hAnsi="Arial"/>
        </w:rPr>
        <w:t xml:space="preserve"> </w:t>
      </w:r>
    </w:p>
    <w:p w:rsidR="00F3721A" w:rsidRDefault="00F9592F">
      <w:pPr>
        <w:pStyle w:val="normal1"/>
        <w:spacing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(Licenciado en Psicología, Licenciado en Derecho, Especialista en Derechos Humanos, Especialidad en Yoga  y Sexualidad Sagrada; Maestro en Filosofía del Derecho, Maestro en Psicoterapia Transpersonal Integrativa; Doctor en</w:t>
      </w:r>
      <w:r>
        <w:rPr>
          <w:rFonts w:ascii="Arial" w:eastAsia="Times New Roman" w:hAnsi="Arial" w:cs="Times New Roman"/>
        </w:rPr>
        <w:t xml:space="preserve"> Tanatología; Estancia Postdoctoral en Migración y Espiritualidad, Estancia Postdoctoral en Ciencias e Investigación Transdisciplinar, Estancia Postdoctoral en Derechos Humanos). </w:t>
      </w:r>
    </w:p>
    <w:p w:rsidR="00F3721A" w:rsidRPr="00DF3E8C" w:rsidRDefault="00F9592F">
      <w:pPr>
        <w:pStyle w:val="normal1"/>
        <w:spacing w:line="240" w:lineRule="auto"/>
        <w:ind w:left="-283" w:right="-220"/>
        <w:jc w:val="both"/>
        <w:rPr>
          <w:rFonts w:ascii="Arial" w:hAnsi="Arial"/>
          <w:lang w:val="en-US"/>
        </w:rPr>
      </w:pPr>
      <w:r w:rsidRPr="00DF3E8C">
        <w:rPr>
          <w:rFonts w:ascii="Arial" w:eastAsia="Times New Roman" w:hAnsi="Arial" w:cs="Times New Roman"/>
          <w:b/>
          <w:lang w:val="en-US"/>
        </w:rPr>
        <w:t xml:space="preserve">Bibliografía General del Diplomado. </w:t>
      </w:r>
    </w:p>
    <w:p w:rsidR="00F3721A" w:rsidRPr="00DF3E8C" w:rsidRDefault="00F9592F">
      <w:pPr>
        <w:pStyle w:val="normal1"/>
        <w:widowControl w:val="0"/>
        <w:tabs>
          <w:tab w:val="left" w:pos="0"/>
        </w:tabs>
        <w:spacing w:before="200" w:after="0" w:line="240" w:lineRule="auto"/>
        <w:ind w:left="-283" w:right="-220"/>
        <w:jc w:val="both"/>
        <w:rPr>
          <w:rFonts w:ascii="Arial" w:hAnsi="Arial"/>
          <w:lang w:val="en-US"/>
        </w:rPr>
      </w:pPr>
      <w:r w:rsidRPr="00DF3E8C">
        <w:rPr>
          <w:rFonts w:ascii="Arial" w:eastAsia="Times New Roman" w:hAnsi="Arial" w:cs="Times New Roman"/>
          <w:lang w:val="en-US"/>
        </w:rPr>
        <w:t>-</w:t>
      </w:r>
      <w:r w:rsidRPr="00DF3E8C">
        <w:rPr>
          <w:rFonts w:ascii="Arial" w:eastAsia="Times New Roman" w:hAnsi="Arial" w:cs="Times New Roman"/>
          <w:color w:val="000000"/>
          <w:lang w:val="en-US"/>
        </w:rPr>
        <w:t>Andi Céline Martin, et al (2014),The I</w:t>
      </w:r>
      <w:r w:rsidRPr="00DF3E8C">
        <w:rPr>
          <w:rFonts w:ascii="Arial" w:eastAsia="Times New Roman" w:hAnsi="Arial" w:cs="Times New Roman"/>
          <w:color w:val="000000"/>
          <w:lang w:val="en-US"/>
        </w:rPr>
        <w:t>mpact of Yoga on Quality of Life and Psychological Distress in Caregivers for Patients With Cancer, Oncology Nursing Forum • Vol. 41, No. 3, May 2014   doi:10.1188/14.ONF.257-264).</w:t>
      </w:r>
    </w:p>
    <w:p w:rsidR="00F3721A" w:rsidRDefault="00F9592F">
      <w:pPr>
        <w:pStyle w:val="normal1"/>
        <w:widowControl w:val="0"/>
        <w:tabs>
          <w:tab w:val="left" w:pos="0"/>
        </w:tabs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>-Marcelli Adrián (2011), El Manejo de las Emociones en el Yoga: El Pratyaha</w:t>
      </w:r>
      <w:r>
        <w:rPr>
          <w:rFonts w:ascii="Arial" w:eastAsia="Times New Roman" w:hAnsi="Arial" w:cs="Times New Roman"/>
          <w:color w:val="000000"/>
        </w:rPr>
        <w:t>ra en el Yoguismo, Ed. Solar Fundación y Asociación Internacional de Yoga Yoguismo, México, pp. 57-223.</w:t>
      </w:r>
    </w:p>
    <w:p w:rsidR="00F3721A" w:rsidRDefault="00F9592F">
      <w:pPr>
        <w:pStyle w:val="normal1"/>
        <w:widowControl w:val="0"/>
        <w:tabs>
          <w:tab w:val="left" w:pos="0"/>
        </w:tabs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>____________ (2010),  Las Tres Dimensiones del Yoga, Coedición Red GFU y Asociación Internacional de Yoga Yoguismo, 3° Edición, México, pp-8-128</w:t>
      </w:r>
    </w:p>
    <w:p w:rsidR="00F3721A" w:rsidRDefault="00F9592F">
      <w:pPr>
        <w:pStyle w:val="normal1"/>
        <w:widowControl w:val="0"/>
        <w:tabs>
          <w:tab w:val="left" w:pos="0"/>
        </w:tabs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>-Maslow</w:t>
      </w:r>
      <w:r>
        <w:rPr>
          <w:rFonts w:ascii="Arial" w:eastAsia="Times New Roman" w:hAnsi="Arial" w:cs="Times New Roman"/>
          <w:color w:val="000000"/>
        </w:rPr>
        <w:t xml:space="preserve"> A. (1970), Motivación y Personalidad, Buenos Aires, Ed. Paidos.</w:t>
      </w:r>
    </w:p>
    <w:p w:rsidR="00F3721A" w:rsidRDefault="00F9592F">
      <w:pPr>
        <w:pStyle w:val="normal1"/>
        <w:widowControl w:val="0"/>
        <w:tabs>
          <w:tab w:val="left" w:pos="0"/>
        </w:tabs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>-Picazo Matazán Rosana (2004), Psicología y Yoga, El Despertar de la Conciencia Interior, Facultad de Estudios Superiores Iztacala de la Universidad Nacional Autónoma de México, Ciudad de Méx</w:t>
      </w:r>
      <w:r>
        <w:rPr>
          <w:rFonts w:ascii="Arial" w:eastAsia="Times New Roman" w:hAnsi="Arial" w:cs="Times New Roman"/>
          <w:color w:val="000000"/>
        </w:rPr>
        <w:t>ico, pp. 50-93.</w:t>
      </w:r>
    </w:p>
    <w:p w:rsidR="00F3721A" w:rsidRDefault="00F9592F">
      <w:pPr>
        <w:pStyle w:val="normal1"/>
        <w:widowControl w:val="0"/>
        <w:tabs>
          <w:tab w:val="left" w:pos="0"/>
        </w:tabs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>-Pintos Vilariño E. (1996) Psicología Transpersonal, Coedición Universidad Iberoamericana, Plaza y Valdés, 1ra edición, México.</w:t>
      </w:r>
    </w:p>
    <w:p w:rsidR="00F3721A" w:rsidRDefault="00F9592F">
      <w:pPr>
        <w:pStyle w:val="normal1"/>
        <w:widowControl w:val="0"/>
        <w:tabs>
          <w:tab w:val="left" w:pos="0"/>
        </w:tabs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 xml:space="preserve">-Polo Scott M.A. (2014) Tanatología Transpersonal, Editorial Thanatos, 1ra edición, México. </w:t>
      </w:r>
    </w:p>
    <w:p w:rsidR="00F3721A" w:rsidRDefault="00F9592F">
      <w:pPr>
        <w:pStyle w:val="normal1"/>
        <w:widowControl w:val="0"/>
        <w:tabs>
          <w:tab w:val="left" w:pos="0"/>
        </w:tabs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>-Yalom I. (1998), P</w:t>
      </w:r>
      <w:r>
        <w:rPr>
          <w:rFonts w:ascii="Arial" w:eastAsia="Times New Roman" w:hAnsi="Arial" w:cs="Times New Roman"/>
          <w:color w:val="000000"/>
        </w:rPr>
        <w:t>sicoterapia Existencial, buenos aires, Ed. Emcé.</w:t>
      </w:r>
    </w:p>
    <w:p w:rsidR="00F3721A" w:rsidRDefault="00F3721A">
      <w:pPr>
        <w:pStyle w:val="normal1"/>
        <w:widowControl w:val="0"/>
        <w:tabs>
          <w:tab w:val="left" w:pos="0"/>
        </w:tabs>
        <w:spacing w:before="200" w:after="0" w:line="240" w:lineRule="auto"/>
        <w:ind w:left="-283" w:right="-220"/>
        <w:jc w:val="both"/>
        <w:rPr>
          <w:rFonts w:eastAsia="Times New Roman" w:cs="Times New Roman"/>
          <w:color w:val="000000"/>
        </w:rPr>
      </w:pPr>
    </w:p>
    <w:p w:rsidR="00F3721A" w:rsidRDefault="00F9592F">
      <w:pPr>
        <w:pStyle w:val="normal1"/>
        <w:widowControl w:val="0"/>
        <w:tabs>
          <w:tab w:val="left" w:pos="0"/>
        </w:tabs>
        <w:spacing w:before="200" w:after="0" w:line="240" w:lineRule="auto"/>
        <w:ind w:left="-283" w:right="-220"/>
        <w:jc w:val="both"/>
        <w:rPr>
          <w:rFonts w:ascii="Arial" w:hAnsi="Arial"/>
          <w:sz w:val="20"/>
          <w:szCs w:val="20"/>
        </w:rPr>
      </w:pPr>
      <w:r>
        <w:rPr>
          <w:rFonts w:ascii="Arial" w:eastAsia="Times New Roman" w:hAnsi="Arial" w:cs="Times New Roman"/>
          <w:color w:val="000000"/>
          <w:sz w:val="20"/>
          <w:szCs w:val="20"/>
        </w:rPr>
        <w:t xml:space="preserve">-Soto E. (2014), El Mantra en el Yoghismo, Asociación Internacional de Yoga yoghismo, México. </w:t>
      </w:r>
    </w:p>
    <w:p w:rsidR="00F3721A" w:rsidRPr="00DF3E8C" w:rsidRDefault="00F9592F">
      <w:pPr>
        <w:pStyle w:val="normal1"/>
        <w:widowControl w:val="0"/>
        <w:tabs>
          <w:tab w:val="left" w:pos="0"/>
        </w:tabs>
        <w:spacing w:before="200" w:after="0" w:line="240" w:lineRule="auto"/>
        <w:ind w:left="-283" w:right="-220"/>
        <w:jc w:val="both"/>
        <w:rPr>
          <w:rFonts w:ascii="Arial" w:hAnsi="Arial"/>
          <w:sz w:val="20"/>
          <w:szCs w:val="20"/>
          <w:lang w:val="en-US"/>
        </w:rPr>
      </w:pPr>
      <w:r w:rsidRPr="00DF3E8C">
        <w:rPr>
          <w:rFonts w:ascii="Arial" w:eastAsia="Times New Roman" w:hAnsi="Arial" w:cs="Times New Roman"/>
          <w:color w:val="000000"/>
          <w:sz w:val="20"/>
          <w:szCs w:val="20"/>
          <w:lang w:val="en-US"/>
        </w:rPr>
        <w:t xml:space="preserve">-INTERNATIONAL JOURNAL OF YOGA THERAPY, No. 18 (2008) 97 Yoga Therapy in Practice End-of-Life Yoga Therapy: Exploring Life and Death Jennifer Taylor, MSW, RYT, CMP Transitional Yoga at Dynamic Systems Rehabilitation, Scottsdale, </w:t>
      </w:r>
      <w:r w:rsidRPr="00DF3E8C">
        <w:rPr>
          <w:rFonts w:ascii="Arial" w:eastAsia="Times New Roman" w:hAnsi="Arial" w:cs="Times New Roman"/>
          <w:color w:val="0563C1"/>
          <w:sz w:val="20"/>
          <w:szCs w:val="20"/>
          <w:u w:val="single"/>
          <w:lang w:val="en-US"/>
        </w:rPr>
        <w:t>http://livinglifedyingdeath</w:t>
      </w:r>
      <w:r w:rsidRPr="00DF3E8C">
        <w:rPr>
          <w:rFonts w:ascii="Arial" w:eastAsia="Times New Roman" w:hAnsi="Arial" w:cs="Times New Roman"/>
          <w:color w:val="0563C1"/>
          <w:sz w:val="20"/>
          <w:szCs w:val="20"/>
          <w:u w:val="single"/>
          <w:lang w:val="en-US"/>
        </w:rPr>
        <w:t>.com/wp-content/uploads/2012/03/endoflifeyoga.pdf</w:t>
      </w:r>
      <w:r w:rsidRPr="00DF3E8C">
        <w:rPr>
          <w:rFonts w:ascii="Arial" w:eastAsia="Times New Roman" w:hAnsi="Arial" w:cs="Times New Roman"/>
          <w:color w:val="000000"/>
          <w:sz w:val="20"/>
          <w:szCs w:val="20"/>
          <w:lang w:val="en-US"/>
        </w:rPr>
        <w:t>, consultado 4 de junio 2015.</w:t>
      </w:r>
    </w:p>
    <w:p w:rsidR="00F3721A" w:rsidRDefault="00F9592F">
      <w:pPr>
        <w:pStyle w:val="normal1"/>
        <w:widowControl w:val="0"/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 xml:space="preserve">-Mircea Eliade, Tratado de Historia de la Religiones, Era, 1964. </w:t>
      </w:r>
    </w:p>
    <w:p w:rsidR="00F3721A" w:rsidRDefault="00F9592F">
      <w:pPr>
        <w:pStyle w:val="normal1"/>
        <w:widowControl w:val="0"/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>-Mardones, Filosofía de las Ciencias Humanas y Sociales, Coyoacán, 1998.</w:t>
      </w:r>
    </w:p>
    <w:p w:rsidR="00F3721A" w:rsidRDefault="00F9592F">
      <w:pPr>
        <w:pStyle w:val="normal1"/>
        <w:widowControl w:val="0"/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>-Mircea Eliade. Mefistófeles y el Andr</w:t>
      </w:r>
      <w:r>
        <w:rPr>
          <w:rFonts w:ascii="Arial" w:eastAsia="Times New Roman" w:hAnsi="Arial" w:cs="Times New Roman"/>
          <w:color w:val="000000"/>
        </w:rPr>
        <w:t>ógino, Guadarrama, 1969.</w:t>
      </w:r>
    </w:p>
    <w:p w:rsidR="00F3721A" w:rsidRDefault="00F9592F">
      <w:pPr>
        <w:pStyle w:val="normal1"/>
        <w:widowControl w:val="0"/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>-Ken Wilberg, Espiritualidad Integral, Kairos, 2006.</w:t>
      </w:r>
    </w:p>
    <w:p w:rsidR="00F3721A" w:rsidRDefault="00F9592F">
      <w:pPr>
        <w:pStyle w:val="normal1"/>
        <w:widowControl w:val="0"/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>-Polo Scott, Psicoterapia Transpersonal, Thanathos, 2020.</w:t>
      </w:r>
    </w:p>
    <w:p w:rsidR="00F3721A" w:rsidRDefault="00F9592F">
      <w:pPr>
        <w:pStyle w:val="normal1"/>
        <w:widowControl w:val="0"/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 xml:space="preserve">López Galicia, El Yoghismo Tanatológico, 2016, IMPo. </w:t>
      </w:r>
    </w:p>
    <w:p w:rsidR="00F3721A" w:rsidRDefault="00F9592F">
      <w:pPr>
        <w:pStyle w:val="normal1"/>
        <w:widowControl w:val="0"/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 xml:space="preserve">-Bernard Jensen, Compendio de Sabiduría Terapéutica Holística, Yug, 1982. </w:t>
      </w:r>
    </w:p>
    <w:p w:rsidR="00F3721A" w:rsidRDefault="00F9592F">
      <w:pPr>
        <w:pStyle w:val="normal1"/>
        <w:widowControl w:val="0"/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 xml:space="preserve">-Héctor Burgos Gallegos, Neurociencia, espiritualidad y religión, Revista de Educación Religiosa, Volumen II, Nº 1, 2020, DOI 10.38123/rer.v2i1.42. Universidad Finis Terrae, </w:t>
      </w:r>
    </w:p>
    <w:p w:rsidR="00F3721A" w:rsidRDefault="00F9592F">
      <w:pPr>
        <w:pStyle w:val="normal1"/>
        <w:widowControl w:val="0"/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>-Victo</w:t>
      </w:r>
      <w:r>
        <w:rPr>
          <w:rFonts w:ascii="Arial" w:eastAsia="Times New Roman" w:hAnsi="Arial" w:cs="Times New Roman"/>
          <w:color w:val="000000"/>
        </w:rPr>
        <w:t xml:space="preserve">r J. Schoenbach 2000 4. El fenómeno de la enfermedad, no. 59, Rev. 5/8/2001, 9/16/2001, 2/22/2004. </w:t>
      </w:r>
    </w:p>
    <w:p w:rsidR="00F3721A" w:rsidRDefault="00F9592F">
      <w:pPr>
        <w:pStyle w:val="normal1"/>
        <w:widowControl w:val="0"/>
        <w:spacing w:before="200" w:after="0" w:line="240" w:lineRule="auto"/>
        <w:ind w:left="-283" w:right="-220"/>
        <w:jc w:val="both"/>
        <w:rPr>
          <w:rFonts w:ascii="Arial" w:hAnsi="Arial"/>
        </w:rPr>
      </w:pPr>
      <w:r>
        <w:rPr>
          <w:rFonts w:ascii="Arial" w:eastAsia="Times New Roman" w:hAnsi="Arial" w:cs="Times New Roman"/>
          <w:color w:val="000000"/>
        </w:rPr>
        <w:t xml:space="preserve"> </w:t>
      </w:r>
      <w:r w:rsidRPr="00DF3E8C">
        <w:rPr>
          <w:rFonts w:ascii="Arial" w:eastAsia="Times New Roman" w:hAnsi="Arial" w:cs="Times New Roman"/>
          <w:color w:val="000000"/>
          <w:lang w:val="en-US"/>
        </w:rPr>
        <w:t xml:space="preserve">-C. Boorse, in What is disease? In: Humber JM, RF Almeder, eds, Biomedical ethics reviews, Humana Press, Totowo NJ, 1997, pp.7-8, quoted in Temple et al. </w:t>
      </w:r>
      <w:r>
        <w:rPr>
          <w:rFonts w:ascii="Arial" w:eastAsia="Times New Roman" w:hAnsi="Arial" w:cs="Times New Roman"/>
          <w:color w:val="000000"/>
        </w:rPr>
        <w:t>(</w:t>
      </w:r>
      <w:r>
        <w:rPr>
          <w:rFonts w:ascii="Arial" w:eastAsia="Times New Roman" w:hAnsi="Arial" w:cs="Times New Roman"/>
          <w:color w:val="000000"/>
        </w:rPr>
        <w:t xml:space="preserve">2001), p807. </w:t>
      </w:r>
    </w:p>
    <w:p w:rsidR="00F3721A" w:rsidRDefault="00F3721A">
      <w:pPr>
        <w:pStyle w:val="normal1"/>
        <w:spacing w:after="0" w:line="240" w:lineRule="auto"/>
        <w:ind w:left="-283" w:right="-220"/>
        <w:jc w:val="both"/>
        <w:rPr>
          <w:rFonts w:ascii="Arial" w:hAnsi="Arial"/>
        </w:rPr>
      </w:pPr>
    </w:p>
    <w:p w:rsidR="00F3721A" w:rsidRDefault="00F3721A">
      <w:pPr>
        <w:pStyle w:val="normal1"/>
        <w:spacing w:after="0" w:line="240" w:lineRule="auto"/>
        <w:ind w:left="-283" w:right="-220"/>
        <w:jc w:val="both"/>
        <w:rPr>
          <w:rFonts w:ascii="Arial" w:hAnsi="Arial"/>
        </w:rPr>
      </w:pPr>
    </w:p>
    <w:p w:rsidR="00F3721A" w:rsidRDefault="00F9592F">
      <w:pPr>
        <w:pStyle w:val="normal1"/>
        <w:spacing w:after="0" w:line="240" w:lineRule="auto"/>
        <w:ind w:left="-283" w:right="-220"/>
        <w:jc w:val="right"/>
        <w:rPr>
          <w:rFonts w:ascii="Arial" w:hAnsi="Arial"/>
        </w:rPr>
      </w:pPr>
      <w:r>
        <w:rPr>
          <w:rFonts w:ascii="Arial" w:hAnsi="Arial"/>
        </w:rPr>
        <w:t xml:space="preserve">Autor: Dr. Marco Antonio López Galicia (dr). </w:t>
      </w:r>
    </w:p>
    <w:sectPr w:rsidR="00F3721A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17" w:right="1701" w:bottom="2206" w:left="1701" w:header="708" w:footer="141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92F" w:rsidRDefault="00F9592F">
      <w:pPr>
        <w:spacing w:after="0" w:line="240" w:lineRule="auto"/>
      </w:pPr>
      <w:r>
        <w:separator/>
      </w:r>
    </w:p>
  </w:endnote>
  <w:endnote w:type="continuationSeparator" w:id="0">
    <w:p w:rsidR="00F9592F" w:rsidRDefault="00F95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berana Sans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gjdgxs"/>
  <w:bookmarkEnd w:id="1"/>
  <w:p w:rsidR="00F3721A" w:rsidRDefault="00F9592F">
    <w:pPr>
      <w:pStyle w:val="normal1"/>
      <w:tabs>
        <w:tab w:val="center" w:pos="4252"/>
        <w:tab w:val="right" w:pos="8504"/>
      </w:tabs>
      <w:rPr>
        <w:color w:val="000000"/>
      </w:rPr>
    </w:pPr>
    <w:r>
      <w:fldChar w:fldCharType="begin"/>
    </w:r>
    <w:r>
      <w:instrText xml:space="preserve"> PAGE </w:instrText>
    </w:r>
    <w:r>
      <w:fldChar w:fldCharType="separate"/>
    </w:r>
    <w:r w:rsidR="00DF3E8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2" w:name="30j0zll"/>
  <w:bookmarkEnd w:id="2"/>
  <w:p w:rsidR="00F3721A" w:rsidRDefault="00F9592F">
    <w:pPr>
      <w:pStyle w:val="normal1"/>
      <w:tabs>
        <w:tab w:val="center" w:pos="4252"/>
        <w:tab w:val="right" w:pos="8504"/>
      </w:tabs>
      <w:jc w:val="right"/>
      <w:rPr>
        <w:color w:val="000000"/>
      </w:rPr>
    </w:pPr>
    <w:r>
      <w:fldChar w:fldCharType="begin"/>
    </w:r>
    <w:r>
      <w:instrText xml:space="preserve"> PAGE </w:instrText>
    </w:r>
    <w:r>
      <w:fldChar w:fldCharType="separate"/>
    </w:r>
    <w:r w:rsidR="00DF3E8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92F" w:rsidRDefault="00F9592F">
      <w:pPr>
        <w:rPr>
          <w:sz w:val="12"/>
        </w:rPr>
      </w:pPr>
      <w:r>
        <w:separator/>
      </w:r>
    </w:p>
  </w:footnote>
  <w:footnote w:type="continuationSeparator" w:id="0">
    <w:p w:rsidR="00F9592F" w:rsidRDefault="00F9592F">
      <w:pPr>
        <w:rPr>
          <w:sz w:val="12"/>
        </w:rPr>
      </w:pPr>
      <w:r>
        <w:continuationSeparator/>
      </w:r>
    </w:p>
  </w:footnote>
  <w:footnote w:id="1">
    <w:p w:rsidR="00F3721A" w:rsidRDefault="00F9592F">
      <w:pPr>
        <w:pStyle w:val="Textonotapie"/>
      </w:pPr>
      <w:r>
        <w:rPr>
          <w:rStyle w:val="Caracteresdenotaalpie"/>
        </w:rPr>
        <w:footnoteRef/>
      </w:r>
      <w:r>
        <w:tab/>
        <w:t xml:space="preserve">Protocolización de la Personalidad Jurídica en Ciudad de México en Trámite.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21A" w:rsidRDefault="00F9592F">
    <w:pPr>
      <w:pStyle w:val="normal1"/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lang w:val="en-US" w:eastAsia="en-US" w:bidi="ar-SA"/>
      </w:rPr>
      <w:drawing>
        <wp:anchor distT="0" distB="0" distL="0" distR="0" simplePos="0" relativeHeight="9" behindDoc="0" locked="0" layoutInCell="0" allowOverlap="1">
          <wp:simplePos x="0" y="0"/>
          <wp:positionH relativeFrom="column">
            <wp:posOffset>4730750</wp:posOffset>
          </wp:positionH>
          <wp:positionV relativeFrom="paragraph">
            <wp:posOffset>-390525</wp:posOffset>
          </wp:positionV>
          <wp:extent cx="832485" cy="833120"/>
          <wp:effectExtent l="0" t="0" r="0" b="0"/>
          <wp:wrapSquare wrapText="largest"/>
          <wp:docPr id="2" name="Imagen1 Copi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 Copia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833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21A" w:rsidRDefault="00F9592F">
    <w:pPr>
      <w:pStyle w:val="normal1"/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lang w:val="en-US" w:eastAsia="en-US" w:bidi="ar-SA"/>
      </w:rPr>
      <w:drawing>
        <wp:anchor distT="0" distB="0" distL="0" distR="0" simplePos="0" relativeHeight="5" behindDoc="0" locked="0" layoutInCell="0" allowOverlap="1">
          <wp:simplePos x="0" y="0"/>
          <wp:positionH relativeFrom="column">
            <wp:posOffset>4730750</wp:posOffset>
          </wp:positionH>
          <wp:positionV relativeFrom="paragraph">
            <wp:posOffset>-390525</wp:posOffset>
          </wp:positionV>
          <wp:extent cx="832485" cy="833120"/>
          <wp:effectExtent l="0" t="0" r="0" b="0"/>
          <wp:wrapSquare wrapText="largest"/>
          <wp:docPr id="3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833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841F0"/>
    <w:multiLevelType w:val="multilevel"/>
    <w:tmpl w:val="CE7AB3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AC39EF"/>
    <w:multiLevelType w:val="multilevel"/>
    <w:tmpl w:val="AAA03CE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735E1D70"/>
    <w:multiLevelType w:val="multilevel"/>
    <w:tmpl w:val="06CE5A5E"/>
    <w:lvl w:ilvl="0">
      <w:start w:val="1"/>
      <w:numFmt w:val="lowerLetter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lowerLetter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lowerLetter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lowerLetter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lowerLetter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lowerLetter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lowerLetter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lowerLetter"/>
      <w:lvlText w:val="%9."/>
      <w:lvlJc w:val="left"/>
      <w:pPr>
        <w:tabs>
          <w:tab w:val="num" w:pos="6381"/>
        </w:tabs>
        <w:ind w:left="6381" w:hanging="283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1A"/>
    <w:rsid w:val="00DF3E8C"/>
    <w:rsid w:val="00F3721A"/>
    <w:rsid w:val="00F9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4E15"/>
  <w15:docId w15:val="{48154AA4-2CA4-42CB-B0E5-8F3A2AC1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spacing w:after="200" w:line="276" w:lineRule="auto"/>
    </w:pPr>
  </w:style>
  <w:style w:type="paragraph" w:styleId="Ttulo1">
    <w:name w:val="heading 1"/>
    <w:basedOn w:val="normal1"/>
    <w:next w:val="normal1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Ttulo2">
    <w:name w:val="heading 2"/>
    <w:basedOn w:val="normal1"/>
    <w:next w:val="normal1"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tulo3">
    <w:name w:val="heading 3"/>
    <w:basedOn w:val="normal1"/>
    <w:next w:val="normal1"/>
    <w:qFormat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tulo4">
    <w:name w:val="heading 4"/>
    <w:basedOn w:val="normal1"/>
    <w:next w:val="normal1"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aracteresdenotaalpie">
    <w:name w:val="Caracteres de nota al pie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customStyle="1" w:styleId="Smbolosdenumeracin">
    <w:name w:val="Símbolos de numeración"/>
    <w:qFormat/>
  </w:style>
  <w:style w:type="character" w:styleId="Textoennegrita">
    <w:name w:val="Strong"/>
    <w:qFormat/>
    <w:rPr>
      <w:b/>
      <w:bCs/>
    </w:rPr>
  </w:style>
  <w:style w:type="paragraph" w:styleId="Ttulo">
    <w:name w:val="Title"/>
    <w:basedOn w:val="normal1"/>
    <w:next w:val="Textoindependiente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normal1">
    <w:name w:val="normal1"/>
    <w:qFormat/>
    <w:pPr>
      <w:overflowPunct w:val="0"/>
      <w:spacing w:after="200" w:line="276" w:lineRule="auto"/>
    </w:pPr>
  </w:style>
  <w:style w:type="paragraph" w:styleId="Subttulo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"/>
  </w:style>
  <w:style w:type="paragraph" w:styleId="Piedepgina">
    <w:name w:val="footer"/>
    <w:basedOn w:val="Cabeceraypie"/>
  </w:style>
  <w:style w:type="paragraph" w:styleId="Prrafodelista">
    <w:name w:val="List Paragraph"/>
    <w:basedOn w:val="Normal"/>
    <w:qFormat/>
    <w:pPr>
      <w:spacing w:after="160"/>
      <w:ind w:left="720"/>
      <w:contextualSpacing/>
    </w:pPr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1889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 2</dc:creator>
  <dc:description/>
  <cp:lastModifiedBy>AULA 2</cp:lastModifiedBy>
  <cp:revision>2</cp:revision>
  <dcterms:created xsi:type="dcterms:W3CDTF">2026-08-13T19:13:00Z</dcterms:created>
  <dcterms:modified xsi:type="dcterms:W3CDTF">2026-08-13T19:13:00Z</dcterms:modified>
  <dc:language>es-MX</dc:language>
</cp:coreProperties>
</file>